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9055C" w14:textId="40BE93B6" w:rsidR="00B13657" w:rsidRDefault="00B13657" w:rsidP="00B13657">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3E69A4" w:rsidRPr="003E69A4">
        <w:rPr>
          <w:rFonts w:ascii="Arial" w:hAnsi="Arial" w:cs="Arial"/>
          <w:b/>
          <w:bCs/>
          <w:sz w:val="28"/>
        </w:rPr>
        <w:t>1705026</w:t>
      </w:r>
    </w:p>
    <w:p w14:paraId="6E0F7CBA" w14:textId="77777777" w:rsidR="00B13657" w:rsidRDefault="00B13657" w:rsidP="00B136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39F6186C"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E5204C" w:rsidRPr="00E5204C">
        <w:rPr>
          <w:rFonts w:ascii="Arial" w:hAnsi="Arial"/>
          <w:sz w:val="24"/>
          <w:lang w:val="en-US"/>
        </w:rPr>
        <w:t>7.2.</w:t>
      </w:r>
      <w:r w:rsidR="00CD1009">
        <w:rPr>
          <w:rFonts w:ascii="Arial" w:hAnsi="Arial"/>
          <w:sz w:val="24"/>
          <w:lang w:val="en-US"/>
        </w:rPr>
        <w:t>8.</w:t>
      </w:r>
      <w:r w:rsidR="0006339B">
        <w:rPr>
          <w:rFonts w:ascii="Arial" w:hAnsi="Arial"/>
          <w:sz w:val="24"/>
          <w:lang w:val="en-US"/>
        </w:rPr>
        <w:t>3</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0611F8FA"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06339B" w:rsidRPr="0006339B">
        <w:rPr>
          <w:rFonts w:ascii="Arial" w:hAnsi="Arial"/>
          <w:sz w:val="24"/>
          <w:lang w:val="en-US"/>
        </w:rPr>
        <w:t>System level performance and interference mitigation techniques for aerial vehicles</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6BDCA97" w14:textId="162D2D0B" w:rsidR="003A17AE" w:rsidRDefault="00ED4A2B" w:rsidP="00ED4A2B">
      <w:pPr>
        <w:jc w:val="both"/>
      </w:pPr>
      <w:r w:rsidRPr="00ED4A2B">
        <w:t>Cellular connectivity will be key for coordinated operation and control of Unmanned Aerial Vehicles, more commonly referred to as drones, enabling a growing set of use cases within and beyond the operator’s visual line of sight.</w:t>
      </w:r>
      <w:r>
        <w:t xml:space="preserve"> </w:t>
      </w:r>
      <w:r w:rsidR="005B5005">
        <w:t xml:space="preserve">In this contribution, we </w:t>
      </w:r>
      <w:r w:rsidR="0006339B">
        <w:t>presented early results with system level performance and interference mitigation techniques</w:t>
      </w:r>
      <w:r w:rsidR="00A320E8">
        <w:t xml:space="preserve"> for considerations in aerial vehicles study</w:t>
      </w:r>
      <w:r w:rsidR="00AE3869">
        <w:t>.</w:t>
      </w:r>
    </w:p>
    <w:p w14:paraId="6585A111" w14:textId="3B56B602" w:rsidR="000040DE" w:rsidRPr="000040DE" w:rsidRDefault="000040DE" w:rsidP="000040DE">
      <w:pPr>
        <w:jc w:val="both"/>
        <w:rPr>
          <w:lang w:val="en-US"/>
        </w:rPr>
      </w:pPr>
      <w:r w:rsidRPr="000040DE">
        <w:rPr>
          <w:lang w:val="en-US"/>
        </w:rPr>
        <w:t>The simulations performed were designed to study of performance tradeoffs when the network is serving many ground and airborne UEs simultaneously over a wide area. The simulations follow 3GPP system simulations guidelines for network layout and ground channel modeling.</w:t>
      </w:r>
      <w:r>
        <w:rPr>
          <w:lang w:val="en-US"/>
        </w:rPr>
        <w:t xml:space="preserve"> </w:t>
      </w:r>
      <w:r w:rsidRPr="000040DE">
        <w:rPr>
          <w:lang w:val="en-US"/>
        </w:rPr>
        <w:t>Here we present studies of:</w:t>
      </w:r>
    </w:p>
    <w:p w14:paraId="5280F153" w14:textId="77777777" w:rsidR="000040DE" w:rsidRPr="000040DE" w:rsidRDefault="000040DE" w:rsidP="000040DE">
      <w:pPr>
        <w:pStyle w:val="ListParagraph"/>
        <w:numPr>
          <w:ilvl w:val="0"/>
          <w:numId w:val="4"/>
        </w:numPr>
        <w:jc w:val="both"/>
        <w:rPr>
          <w:lang w:val="en-US"/>
        </w:rPr>
      </w:pPr>
      <w:r w:rsidRPr="000040DE">
        <w:rPr>
          <w:lang w:val="en-US"/>
        </w:rPr>
        <w:t>Downlink SINR</w:t>
      </w:r>
    </w:p>
    <w:p w14:paraId="37B6E96D" w14:textId="77777777" w:rsidR="000040DE" w:rsidRPr="000040DE" w:rsidRDefault="000040DE" w:rsidP="000040DE">
      <w:pPr>
        <w:pStyle w:val="ListParagraph"/>
        <w:numPr>
          <w:ilvl w:val="0"/>
          <w:numId w:val="4"/>
        </w:numPr>
        <w:jc w:val="both"/>
        <w:rPr>
          <w:lang w:val="en-US"/>
        </w:rPr>
      </w:pPr>
      <w:r w:rsidRPr="000040DE">
        <w:rPr>
          <w:lang w:val="en-US"/>
        </w:rPr>
        <w:t>Uplink interference and throughput</w:t>
      </w:r>
    </w:p>
    <w:p w14:paraId="1D3A0347" w14:textId="37029F7D" w:rsidR="00ED4A2B" w:rsidRDefault="000040DE" w:rsidP="000040DE">
      <w:pPr>
        <w:jc w:val="both"/>
      </w:pPr>
      <w:r w:rsidRPr="000040DE">
        <w:rPr>
          <w:lang w:val="en-US"/>
        </w:rPr>
        <w:t xml:space="preserve">The goal is to give insights into the techniques that can be expected to provide the best payoff for overall performance of both ground and airborne UEs as the number of airborne UEs grows in the future. </w:t>
      </w:r>
      <w:r w:rsidR="00D57E5C">
        <w:rPr>
          <w:lang w:val="en-US"/>
        </w:rPr>
        <w:t>In a companion contribution [</w:t>
      </w:r>
      <w:r w:rsidR="001F3971">
        <w:rPr>
          <w:lang w:val="en-US"/>
        </w:rPr>
        <w:t>3</w:t>
      </w:r>
      <w:r w:rsidR="00D57E5C">
        <w:rPr>
          <w:lang w:val="en-US"/>
        </w:rPr>
        <w:t>]</w:t>
      </w:r>
      <w:r w:rsidR="00345529">
        <w:rPr>
          <w:lang w:val="en-US"/>
        </w:rPr>
        <w:t>,</w:t>
      </w:r>
      <w:r w:rsidR="00D57E5C">
        <w:rPr>
          <w:lang w:val="en-US"/>
        </w:rPr>
        <w:t xml:space="preserve"> we </w:t>
      </w:r>
      <w:r w:rsidR="001F3971">
        <w:rPr>
          <w:lang w:val="en-US"/>
        </w:rPr>
        <w:t xml:space="preserve">have </w:t>
      </w:r>
      <w:r w:rsidR="00D57E5C">
        <w:rPr>
          <w:lang w:val="en-US"/>
        </w:rPr>
        <w:t>present</w:t>
      </w:r>
      <w:r w:rsidR="00345529">
        <w:rPr>
          <w:lang w:val="en-US"/>
        </w:rPr>
        <w:t>ed</w:t>
      </w:r>
      <w:r w:rsidR="00D57E5C">
        <w:rPr>
          <w:lang w:val="en-US"/>
        </w:rPr>
        <w:t xml:space="preserve"> our results on mobility performance of airborne UEs.</w:t>
      </w:r>
    </w:p>
    <w:p w14:paraId="6D10FA08" w14:textId="6EDC8151" w:rsidR="008B368F" w:rsidRDefault="000040DE" w:rsidP="00816C11">
      <w:pPr>
        <w:pStyle w:val="Heading1"/>
        <w:numPr>
          <w:ilvl w:val="0"/>
          <w:numId w:val="2"/>
        </w:numPr>
      </w:pPr>
      <w:r>
        <w:t>Simulation setup and Assumptions</w:t>
      </w:r>
    </w:p>
    <w:p w14:paraId="2BE27FEB" w14:textId="60FCD410" w:rsidR="000040DE" w:rsidRPr="00EA1460" w:rsidRDefault="000040DE" w:rsidP="000040DE">
      <w:pPr>
        <w:pStyle w:val="B-Body"/>
        <w:ind w:left="0"/>
        <w:rPr>
          <w:sz w:val="20"/>
        </w:rPr>
      </w:pPr>
      <w:r w:rsidRPr="00EA1460">
        <w:rPr>
          <w:sz w:val="20"/>
        </w:rPr>
        <w:t xml:space="preserve">The simulations performed used the setup described in </w:t>
      </w:r>
      <w:r w:rsidRPr="00EA1460">
        <w:rPr>
          <w:sz w:val="20"/>
        </w:rPr>
        <w:fldChar w:fldCharType="begin"/>
      </w:r>
      <w:r w:rsidRPr="00E34900">
        <w:rPr>
          <w:sz w:val="20"/>
        </w:rPr>
        <w:instrText xml:space="preserve"> REF _Ref473299416 \h \t \* \MERGEFORMAT </w:instrText>
      </w:r>
      <w:r w:rsidRPr="00EA1460">
        <w:rPr>
          <w:sz w:val="20"/>
        </w:rPr>
      </w:r>
      <w:r w:rsidRPr="00EA1460">
        <w:rPr>
          <w:sz w:val="20"/>
        </w:rPr>
        <w:fldChar w:fldCharType="separate"/>
      </w:r>
      <w:r w:rsidRPr="00E34900">
        <w:rPr>
          <w:sz w:val="20"/>
        </w:rPr>
        <w:t>Table 1</w:t>
      </w:r>
      <w:r w:rsidRPr="00EA1460">
        <w:rPr>
          <w:sz w:val="20"/>
        </w:rPr>
        <w:fldChar w:fldCharType="end"/>
      </w:r>
      <w:r w:rsidRPr="00EA1460">
        <w:rPr>
          <w:sz w:val="20"/>
        </w:rPr>
        <w:t>.</w:t>
      </w:r>
    </w:p>
    <w:p w14:paraId="2B5213D8" w14:textId="538B0E8B" w:rsidR="000040DE" w:rsidRPr="00EA1460" w:rsidRDefault="008B751D" w:rsidP="008B751D">
      <w:pPr>
        <w:pStyle w:val="T-TableTitle"/>
        <w:ind w:left="0"/>
        <w:jc w:val="center"/>
        <w:rPr>
          <w:rFonts w:ascii="Times New Roman" w:hAnsi="Times New Roman" w:cs="Times New Roman"/>
          <w:sz w:val="20"/>
        </w:rPr>
      </w:pPr>
      <w:bookmarkStart w:id="2" w:name="_Ref473299416"/>
      <w:bookmarkStart w:id="3" w:name="_Toc473812165"/>
      <w:r>
        <w:rPr>
          <w:rFonts w:ascii="Times New Roman" w:hAnsi="Times New Roman" w:cs="Times New Roman"/>
          <w:sz w:val="20"/>
        </w:rPr>
        <w:t xml:space="preserve">Table </w:t>
      </w:r>
      <w:r w:rsidR="000040DE" w:rsidRPr="00EA1460">
        <w:rPr>
          <w:rFonts w:ascii="Times New Roman" w:hAnsi="Times New Roman" w:cs="Times New Roman"/>
          <w:sz w:val="20"/>
        </w:rPr>
        <w:fldChar w:fldCharType="begin"/>
      </w:r>
      <w:r w:rsidR="000040DE" w:rsidRPr="00EA1460">
        <w:rPr>
          <w:rFonts w:ascii="Times New Roman" w:hAnsi="Times New Roman" w:cs="Times New Roman"/>
          <w:sz w:val="20"/>
        </w:rPr>
        <w:instrText xml:space="preserve"> SEQ Table \* ARABIC \s 1 </w:instrText>
      </w:r>
      <w:r w:rsidR="000040DE" w:rsidRPr="00EA1460">
        <w:rPr>
          <w:rFonts w:ascii="Times New Roman" w:hAnsi="Times New Roman" w:cs="Times New Roman"/>
          <w:sz w:val="20"/>
        </w:rPr>
        <w:fldChar w:fldCharType="separate"/>
      </w:r>
      <w:r w:rsidR="000040DE" w:rsidRPr="00EA1460">
        <w:rPr>
          <w:rFonts w:ascii="Times New Roman" w:hAnsi="Times New Roman" w:cs="Times New Roman"/>
          <w:noProof/>
          <w:sz w:val="20"/>
        </w:rPr>
        <w:t>1</w:t>
      </w:r>
      <w:r w:rsidR="000040DE" w:rsidRPr="00EA1460">
        <w:rPr>
          <w:rFonts w:ascii="Times New Roman" w:hAnsi="Times New Roman" w:cs="Times New Roman"/>
          <w:noProof/>
          <w:sz w:val="20"/>
        </w:rPr>
        <w:fldChar w:fldCharType="end"/>
      </w:r>
      <w:bookmarkEnd w:id="2"/>
      <w:r w:rsidR="000040DE" w:rsidRPr="00EA1460">
        <w:rPr>
          <w:rFonts w:ascii="Times New Roman" w:hAnsi="Times New Roman" w:cs="Times New Roman"/>
          <w:sz w:val="20"/>
        </w:rPr>
        <w:t xml:space="preserve"> Simulation setup</w:t>
      </w:r>
      <w:bookmarkEnd w:id="3"/>
    </w:p>
    <w:tbl>
      <w:tblPr>
        <w:tblStyle w:val="TableGrid"/>
        <w:tblW w:w="8640" w:type="dxa"/>
        <w:tblInd w:w="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1590"/>
        <w:gridCol w:w="7050"/>
      </w:tblGrid>
      <w:tr w:rsidR="000040DE" w:rsidRPr="00EA1460" w14:paraId="674D190F" w14:textId="77777777" w:rsidTr="00C418A6">
        <w:trPr>
          <w:cantSplit/>
          <w:tblHeader/>
        </w:trPr>
        <w:tc>
          <w:tcPr>
            <w:tcW w:w="1590" w:type="dxa"/>
            <w:tcBorders>
              <w:bottom w:val="single" w:sz="8" w:space="0" w:color="000000"/>
            </w:tcBorders>
            <w:shd w:val="clear" w:color="auto" w:fill="auto"/>
          </w:tcPr>
          <w:p w14:paraId="06D00529" w14:textId="77777777" w:rsidR="000040DE" w:rsidRPr="00EA1460" w:rsidRDefault="000040DE" w:rsidP="00C418A6">
            <w:pPr>
              <w:pStyle w:val="TH-TableHeading"/>
              <w:keepNext w:val="0"/>
              <w:rPr>
                <w:rFonts w:ascii="Times New Roman" w:hAnsi="Times New Roman" w:cs="Times New Roman"/>
                <w:sz w:val="20"/>
              </w:rPr>
            </w:pPr>
            <w:r w:rsidRPr="00EA1460">
              <w:rPr>
                <w:rFonts w:ascii="Times New Roman" w:hAnsi="Times New Roman" w:cs="Times New Roman"/>
                <w:sz w:val="20"/>
              </w:rPr>
              <w:t>Item</w:t>
            </w:r>
          </w:p>
        </w:tc>
        <w:tc>
          <w:tcPr>
            <w:tcW w:w="7050" w:type="dxa"/>
            <w:tcBorders>
              <w:bottom w:val="single" w:sz="8" w:space="0" w:color="000000"/>
            </w:tcBorders>
            <w:shd w:val="clear" w:color="auto" w:fill="auto"/>
          </w:tcPr>
          <w:p w14:paraId="7562B881" w14:textId="77777777" w:rsidR="000040DE" w:rsidRPr="00EA1460" w:rsidRDefault="000040DE" w:rsidP="00C418A6">
            <w:pPr>
              <w:pStyle w:val="TH-TableHeading"/>
              <w:keepNext w:val="0"/>
              <w:rPr>
                <w:rFonts w:ascii="Times New Roman" w:hAnsi="Times New Roman" w:cs="Times New Roman"/>
                <w:sz w:val="20"/>
              </w:rPr>
            </w:pPr>
            <w:r w:rsidRPr="00EA1460">
              <w:rPr>
                <w:rFonts w:ascii="Times New Roman" w:hAnsi="Times New Roman" w:cs="Times New Roman"/>
                <w:sz w:val="20"/>
              </w:rPr>
              <w:t>Description</w:t>
            </w:r>
          </w:p>
        </w:tc>
      </w:tr>
      <w:tr w:rsidR="000040DE" w:rsidRPr="00EA1460" w14:paraId="0E2AD5AB" w14:textId="77777777" w:rsidTr="00C418A6">
        <w:trPr>
          <w:cantSplit/>
        </w:trPr>
        <w:tc>
          <w:tcPr>
            <w:tcW w:w="1590" w:type="dxa"/>
            <w:tcBorders>
              <w:top w:val="single" w:sz="8" w:space="0" w:color="000000"/>
            </w:tcBorders>
            <w:shd w:val="clear" w:color="auto" w:fill="auto"/>
          </w:tcPr>
          <w:p w14:paraId="13C73961" w14:textId="77777777" w:rsidR="000040DE" w:rsidRPr="00EA1460" w:rsidRDefault="000040DE" w:rsidP="00C418A6">
            <w:pPr>
              <w:pStyle w:val="TB-TableBody"/>
              <w:rPr>
                <w:rFonts w:ascii="Times New Roman" w:hAnsi="Times New Roman" w:cs="Times New Roman"/>
                <w:b/>
                <w:sz w:val="20"/>
              </w:rPr>
            </w:pPr>
            <w:r w:rsidRPr="00EA1460">
              <w:rPr>
                <w:rFonts w:ascii="Times New Roman" w:hAnsi="Times New Roman" w:cs="Times New Roman"/>
                <w:b/>
                <w:sz w:val="20"/>
              </w:rPr>
              <w:t>Layout</w:t>
            </w:r>
          </w:p>
        </w:tc>
        <w:tc>
          <w:tcPr>
            <w:tcW w:w="7050" w:type="dxa"/>
            <w:tcBorders>
              <w:top w:val="single" w:sz="8" w:space="0" w:color="000000"/>
            </w:tcBorders>
            <w:shd w:val="clear" w:color="auto" w:fill="auto"/>
          </w:tcPr>
          <w:p w14:paraId="5CF10B6A" w14:textId="3F0D12E1"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The layout follows the 3GPP D3 layout for system simulations in</w:t>
            </w:r>
            <w:r w:rsidRPr="00EA1460">
              <w:rPr>
                <w:rFonts w:ascii="Times New Roman" w:hAnsi="Times New Roman" w:cs="Times New Roman"/>
                <w:color w:val="0000FF"/>
                <w:sz w:val="20"/>
              </w:rPr>
              <w:t xml:space="preserve"> </w:t>
            </w:r>
            <w:r w:rsidRPr="00EA1460">
              <w:rPr>
                <w:rFonts w:ascii="Times New Roman" w:hAnsi="Times New Roman" w:cs="Times New Roman"/>
                <w:i/>
                <w:sz w:val="20"/>
              </w:rPr>
              <w:t>3GPP Technical Specification 36.814 v9.0.0</w:t>
            </w:r>
            <w:r w:rsidRPr="00EA1460">
              <w:rPr>
                <w:rFonts w:ascii="Times New Roman" w:hAnsi="Times New Roman" w:cs="Times New Roman"/>
                <w:sz w:val="20"/>
              </w:rPr>
              <w:t xml:space="preserve"> with antennas modified for this simulation. </w:t>
            </w:r>
          </w:p>
          <w:p w14:paraId="264FBECC" w14:textId="77777777"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 xml:space="preserve">The D3 layout is a hexagonal grid with 1732 meter site-to-site spacing, and 3 cells per site (pointed in 120 degrees azimuth increments). </w:t>
            </w:r>
          </w:p>
          <w:p w14:paraId="5C57510E" w14:textId="62FA58B1"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 xml:space="preserve">Due to the importance of the 3D antenna pattern for these simulations, the standard 3GPP simulation antenna was replaced with a 3D model of a representative commercial antenna, the 80010734_716MHz antenna </w:t>
            </w:r>
            <w:r w:rsidR="00D57E5C">
              <w:rPr>
                <w:rFonts w:ascii="Times New Roman" w:hAnsi="Times New Roman" w:cs="Times New Roman"/>
                <w:sz w:val="20"/>
              </w:rPr>
              <w:t>(details in [</w:t>
            </w:r>
            <w:r w:rsidR="008B751D">
              <w:rPr>
                <w:rFonts w:ascii="Times New Roman" w:hAnsi="Times New Roman" w:cs="Times New Roman"/>
                <w:sz w:val="20"/>
              </w:rPr>
              <w:t>4</w:t>
            </w:r>
            <w:r w:rsidR="00D57E5C">
              <w:rPr>
                <w:rFonts w:ascii="Times New Roman" w:hAnsi="Times New Roman" w:cs="Times New Roman"/>
                <w:sz w:val="20"/>
              </w:rPr>
              <w:t>])</w:t>
            </w:r>
          </w:p>
          <w:p w14:paraId="1CCD61BA" w14:textId="19B83CC0"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Six degree mechanical down tilt was used for all antennas, and the total transmit power limit was set to 46 dBm.</w:t>
            </w:r>
          </w:p>
        </w:tc>
      </w:tr>
      <w:tr w:rsidR="000040DE" w:rsidRPr="00EA1460" w14:paraId="10CC2B0C" w14:textId="77777777" w:rsidTr="00C418A6">
        <w:trPr>
          <w:cantSplit/>
        </w:trPr>
        <w:tc>
          <w:tcPr>
            <w:tcW w:w="1590" w:type="dxa"/>
            <w:shd w:val="clear" w:color="auto" w:fill="auto"/>
          </w:tcPr>
          <w:p w14:paraId="1C53C456" w14:textId="77777777" w:rsidR="000040DE" w:rsidRPr="00EA1460" w:rsidRDefault="000040DE" w:rsidP="00C418A6">
            <w:pPr>
              <w:pStyle w:val="TB-TableBody"/>
              <w:rPr>
                <w:rFonts w:ascii="Times New Roman" w:hAnsi="Times New Roman" w:cs="Times New Roman"/>
                <w:b/>
                <w:sz w:val="20"/>
              </w:rPr>
            </w:pPr>
            <w:r w:rsidRPr="00EA1460">
              <w:rPr>
                <w:rFonts w:ascii="Times New Roman" w:hAnsi="Times New Roman" w:cs="Times New Roman"/>
                <w:b/>
                <w:sz w:val="20"/>
              </w:rPr>
              <w:t>Band</w:t>
            </w:r>
          </w:p>
        </w:tc>
        <w:tc>
          <w:tcPr>
            <w:tcW w:w="7050" w:type="dxa"/>
            <w:shd w:val="clear" w:color="auto" w:fill="auto"/>
          </w:tcPr>
          <w:p w14:paraId="549FC818" w14:textId="77777777"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700 MHz band only, with 10 MHz bandwidth</w:t>
            </w:r>
          </w:p>
        </w:tc>
      </w:tr>
      <w:tr w:rsidR="000040DE" w:rsidRPr="00EA1460" w14:paraId="293E9BA0" w14:textId="77777777" w:rsidTr="00C418A6">
        <w:trPr>
          <w:cantSplit/>
        </w:trPr>
        <w:tc>
          <w:tcPr>
            <w:tcW w:w="1590" w:type="dxa"/>
            <w:shd w:val="clear" w:color="auto" w:fill="auto"/>
          </w:tcPr>
          <w:p w14:paraId="039C152C" w14:textId="77777777" w:rsidR="000040DE" w:rsidRPr="00EA1460" w:rsidRDefault="000040DE" w:rsidP="00C418A6">
            <w:pPr>
              <w:pStyle w:val="TB-TableBody"/>
              <w:rPr>
                <w:rFonts w:ascii="Times New Roman" w:hAnsi="Times New Roman" w:cs="Times New Roman"/>
                <w:b/>
                <w:sz w:val="20"/>
              </w:rPr>
            </w:pPr>
            <w:r w:rsidRPr="00EA1460">
              <w:rPr>
                <w:rFonts w:ascii="Times New Roman" w:hAnsi="Times New Roman" w:cs="Times New Roman"/>
                <w:b/>
                <w:sz w:val="20"/>
              </w:rPr>
              <w:lastRenderedPageBreak/>
              <w:t>Propagation modeling</w:t>
            </w:r>
          </w:p>
        </w:tc>
        <w:tc>
          <w:tcPr>
            <w:tcW w:w="7050" w:type="dxa"/>
            <w:shd w:val="clear" w:color="auto" w:fill="auto"/>
          </w:tcPr>
          <w:p w14:paraId="15E4FA1A" w14:textId="7EDA4BC9" w:rsidR="000040DE" w:rsidRPr="00EA1460" w:rsidRDefault="000040DE" w:rsidP="00C418A6">
            <w:pPr>
              <w:pStyle w:val="TU-TableBullet"/>
              <w:rPr>
                <w:rFonts w:ascii="Times New Roman" w:hAnsi="Times New Roman" w:cs="Times New Roman"/>
                <w:sz w:val="20"/>
              </w:rPr>
            </w:pPr>
            <w:r w:rsidRPr="00EA1460">
              <w:rPr>
                <w:rFonts w:ascii="Times New Roman" w:hAnsi="Times New Roman" w:cs="Times New Roman"/>
                <w:sz w:val="20"/>
              </w:rPr>
              <w:t>Ground UEs are modeled using the 3GPP typical urban profile number 3 (TU3),</w:t>
            </w:r>
            <w:r w:rsidR="00D57E5C">
              <w:rPr>
                <w:rFonts w:ascii="Times New Roman" w:hAnsi="Times New Roman" w:cs="Times New Roman"/>
                <w:sz w:val="20"/>
              </w:rPr>
              <w:t xml:space="preserve"> as defined in 36.814</w:t>
            </w:r>
            <w:r w:rsidR="001F3971">
              <w:rPr>
                <w:rFonts w:ascii="Times New Roman" w:hAnsi="Times New Roman" w:cs="Times New Roman"/>
                <w:sz w:val="20"/>
              </w:rPr>
              <w:t xml:space="preserve"> [2]</w:t>
            </w:r>
            <w:r w:rsidRPr="00EA1460">
              <w:rPr>
                <w:rFonts w:ascii="Times New Roman" w:hAnsi="Times New Roman" w:cs="Times New Roman"/>
                <w:sz w:val="20"/>
              </w:rPr>
              <w:fldChar w:fldCharType="begin"/>
            </w:r>
            <w:r w:rsidRPr="00EA1460">
              <w:rPr>
                <w:rFonts w:ascii="Times New Roman" w:hAnsi="Times New Roman" w:cs="Times New Roman"/>
                <w:sz w:val="20"/>
              </w:rPr>
              <w:instrText xml:space="preserve"> REF R1 \h </w:instrText>
            </w:r>
            <w:r w:rsidR="00EA1460" w:rsidRPr="00EA1460">
              <w:rPr>
                <w:rFonts w:ascii="Times New Roman" w:hAnsi="Times New Roman" w:cs="Times New Roman"/>
                <w:sz w:val="20"/>
              </w:rPr>
              <w:instrText xml:space="preserve"> \* MERGEFORMAT </w:instrText>
            </w:r>
            <w:r w:rsidRPr="00EA1460">
              <w:rPr>
                <w:rFonts w:ascii="Times New Roman" w:hAnsi="Times New Roman" w:cs="Times New Roman"/>
                <w:sz w:val="20"/>
              </w:rPr>
            </w:r>
            <w:r w:rsidRPr="00EA1460">
              <w:rPr>
                <w:rFonts w:ascii="Times New Roman" w:hAnsi="Times New Roman" w:cs="Times New Roman"/>
                <w:sz w:val="20"/>
              </w:rPr>
              <w:fldChar w:fldCharType="end"/>
            </w:r>
            <w:r w:rsidRPr="00EA1460">
              <w:rPr>
                <w:rFonts w:ascii="Times New Roman" w:hAnsi="Times New Roman" w:cs="Times New Roman"/>
                <w:sz w:val="20"/>
              </w:rPr>
              <w:fldChar w:fldCharType="begin"/>
            </w:r>
            <w:r w:rsidRPr="00EA1460">
              <w:rPr>
                <w:rFonts w:ascii="Times New Roman" w:hAnsi="Times New Roman" w:cs="Times New Roman"/>
                <w:sz w:val="20"/>
              </w:rPr>
              <w:instrText xml:space="preserve"> REF R1 \h </w:instrText>
            </w:r>
            <w:r w:rsidR="00EA1460" w:rsidRPr="00EA1460">
              <w:rPr>
                <w:rFonts w:ascii="Times New Roman" w:hAnsi="Times New Roman" w:cs="Times New Roman"/>
                <w:sz w:val="20"/>
              </w:rPr>
              <w:instrText xml:space="preserve"> \* MERGEFORMAT </w:instrText>
            </w:r>
            <w:r w:rsidRPr="00EA1460">
              <w:rPr>
                <w:rFonts w:ascii="Times New Roman" w:hAnsi="Times New Roman" w:cs="Times New Roman"/>
                <w:sz w:val="20"/>
              </w:rPr>
            </w:r>
            <w:r w:rsidRPr="00EA1460">
              <w:rPr>
                <w:rFonts w:ascii="Times New Roman" w:hAnsi="Times New Roman" w:cs="Times New Roman"/>
                <w:sz w:val="20"/>
              </w:rPr>
              <w:fldChar w:fldCharType="end"/>
            </w:r>
            <w:r w:rsidRPr="00EA1460">
              <w:rPr>
                <w:rFonts w:ascii="Times New Roman" w:hAnsi="Times New Roman" w:cs="Times New Roman"/>
                <w:sz w:val="20"/>
              </w:rPr>
              <w:t>. This model uses a path loss exponent of 3.76 and log-normal shadowing with standard deviation 8.0 dB.</w:t>
            </w:r>
          </w:p>
          <w:p w14:paraId="0C5B6501" w14:textId="44853E7B" w:rsidR="000040DE" w:rsidRPr="00EA1460" w:rsidRDefault="000040DE">
            <w:pPr>
              <w:pStyle w:val="TU-TableBullet"/>
              <w:rPr>
                <w:rFonts w:ascii="Times New Roman" w:hAnsi="Times New Roman" w:cs="Times New Roman"/>
                <w:sz w:val="20"/>
              </w:rPr>
            </w:pPr>
            <w:r w:rsidRPr="00EA1460">
              <w:rPr>
                <w:rFonts w:ascii="Times New Roman" w:hAnsi="Times New Roman" w:cs="Times New Roman"/>
                <w:sz w:val="20"/>
              </w:rPr>
              <w:t>Drone UEs are all modeled with free space propagation and zero shadowing. This model uses a path loss exponent of 2.0</w:t>
            </w:r>
            <w:r w:rsidR="00D57E5C">
              <w:rPr>
                <w:rFonts w:ascii="Times New Roman" w:hAnsi="Times New Roman" w:cs="Times New Roman"/>
                <w:sz w:val="20"/>
              </w:rPr>
              <w:t xml:space="preserve"> [</w:t>
            </w:r>
            <w:r w:rsidR="008B751D">
              <w:rPr>
                <w:rFonts w:ascii="Times New Roman" w:hAnsi="Times New Roman" w:cs="Times New Roman"/>
                <w:sz w:val="20"/>
              </w:rPr>
              <w:t>4</w:t>
            </w:r>
            <w:r w:rsidR="00D57E5C">
              <w:rPr>
                <w:rFonts w:ascii="Times New Roman" w:hAnsi="Times New Roman" w:cs="Times New Roman"/>
                <w:sz w:val="20"/>
              </w:rPr>
              <w:t>]</w:t>
            </w:r>
            <w:r w:rsidRPr="00EA1460">
              <w:rPr>
                <w:rFonts w:ascii="Times New Roman" w:hAnsi="Times New Roman" w:cs="Times New Roman"/>
                <w:sz w:val="20"/>
              </w:rPr>
              <w:t xml:space="preserve">. </w:t>
            </w:r>
          </w:p>
        </w:tc>
      </w:tr>
    </w:tbl>
    <w:p w14:paraId="6CE6B05C" w14:textId="77777777" w:rsidR="000040DE" w:rsidRPr="00EA1460" w:rsidRDefault="000040DE" w:rsidP="006F51AA">
      <w:pPr>
        <w:jc w:val="both"/>
      </w:pPr>
    </w:p>
    <w:p w14:paraId="60919D3D" w14:textId="206058D3" w:rsidR="00D97396" w:rsidRDefault="00D97396" w:rsidP="00D97396">
      <w:pPr>
        <w:pStyle w:val="Heading1"/>
        <w:numPr>
          <w:ilvl w:val="0"/>
          <w:numId w:val="2"/>
        </w:numPr>
      </w:pPr>
      <w:r>
        <w:t>Downlink Simulations</w:t>
      </w:r>
    </w:p>
    <w:p w14:paraId="03A6F655" w14:textId="681FFDE0" w:rsidR="00D97396" w:rsidRPr="00EA1460" w:rsidRDefault="00855C4D" w:rsidP="00D97396">
      <w:pPr>
        <w:pStyle w:val="B-Body"/>
        <w:keepNext/>
        <w:keepLines/>
        <w:ind w:left="0"/>
        <w:rPr>
          <w:sz w:val="20"/>
        </w:rPr>
      </w:pPr>
      <w:r w:rsidRPr="00EA1460">
        <w:rPr>
          <w:sz w:val="20"/>
        </w:rPr>
        <w:t>T</w:t>
      </w:r>
      <w:r w:rsidR="00D97396" w:rsidRPr="00EA1460">
        <w:rPr>
          <w:sz w:val="20"/>
        </w:rPr>
        <w:t>he SINR distribution computed in the simulation assuming full-buffer traffic</w:t>
      </w:r>
      <w:r w:rsidRPr="00EA1460">
        <w:rPr>
          <w:sz w:val="20"/>
        </w:rPr>
        <w:t>, in the downlink are compared in this section</w:t>
      </w:r>
      <w:r w:rsidR="00D97396" w:rsidRPr="00EA1460">
        <w:rPr>
          <w:sz w:val="20"/>
        </w:rPr>
        <w:t xml:space="preserve">. </w:t>
      </w:r>
    </w:p>
    <w:p w14:paraId="3744D540" w14:textId="0155CCAC" w:rsidR="00D97396" w:rsidRPr="00EA1460" w:rsidRDefault="00D97396" w:rsidP="00D97396">
      <w:pPr>
        <w:pStyle w:val="B-Body"/>
        <w:keepNext/>
        <w:keepLines/>
        <w:ind w:left="0"/>
        <w:rPr>
          <w:sz w:val="20"/>
        </w:rPr>
      </w:pPr>
      <w:r w:rsidRPr="00EA1460">
        <w:rPr>
          <w:sz w:val="20"/>
        </w:rPr>
        <w:t xml:space="preserve">The simulator randomly and uniformly positions UEs in the network and then computes the received signal energy at each UE from </w:t>
      </w:r>
      <w:r w:rsidR="00855C4D" w:rsidRPr="00EA1460">
        <w:rPr>
          <w:sz w:val="20"/>
        </w:rPr>
        <w:t>all</w:t>
      </w:r>
      <w:r w:rsidRPr="00EA1460">
        <w:rPr>
          <w:sz w:val="20"/>
        </w:rPr>
        <w:t xml:space="preserve"> the cells using the relevant propagation model and the cell parameters such as antenna gains and transmit power. </w:t>
      </w:r>
    </w:p>
    <w:p w14:paraId="6DF12D57" w14:textId="77777777" w:rsidR="00D97396" w:rsidRPr="00EA1460" w:rsidRDefault="00D97396" w:rsidP="00D97396">
      <w:pPr>
        <w:pStyle w:val="B-Body"/>
        <w:ind w:left="0"/>
        <w:rPr>
          <w:sz w:val="20"/>
        </w:rPr>
      </w:pPr>
      <w:r w:rsidRPr="00EA1460">
        <w:rPr>
          <w:sz w:val="20"/>
          <w:lang w:eastAsia="ja-JP"/>
        </w:rPr>
        <w:t>This distribution gives a statistical picture of the signal quality that can be expected by users in the network. Since this distribution for users at one altitude is not affected by users at other altitudes, we perform these assumptions with all users at a single altitude, one altitude at a time.</w:t>
      </w:r>
    </w:p>
    <w:p w14:paraId="586554DF" w14:textId="4E6D8C0D" w:rsidR="00D97396" w:rsidRDefault="00D97396" w:rsidP="00D97396">
      <w:pPr>
        <w:pStyle w:val="Heading2"/>
      </w:pPr>
      <w:bookmarkStart w:id="4" w:name="_Toc473812095"/>
      <w:r>
        <w:t>3.</w:t>
      </w:r>
      <w:r w:rsidR="004B4554">
        <w:t>1</w:t>
      </w:r>
      <w:r>
        <w:t>. Analysis of results</w:t>
      </w:r>
      <w:bookmarkEnd w:id="4"/>
    </w:p>
    <w:p w14:paraId="4275C900" w14:textId="449ED731" w:rsidR="00D97396" w:rsidRPr="00EA1460" w:rsidRDefault="00D97396" w:rsidP="004B4554">
      <w:pPr>
        <w:pStyle w:val="B-Body"/>
        <w:ind w:left="0"/>
        <w:rPr>
          <w:sz w:val="20"/>
        </w:rPr>
      </w:pPr>
      <w:r w:rsidRPr="00EA1460">
        <w:rPr>
          <w:sz w:val="20"/>
          <w:lang w:eastAsia="ja-JP"/>
        </w:rPr>
        <w:t xml:space="preserve">Downlink SINR distributions from simulations of users at ground level, at 50 </w:t>
      </w:r>
      <w:r w:rsidR="00855C4D" w:rsidRPr="00EA1460">
        <w:rPr>
          <w:sz w:val="20"/>
          <w:lang w:eastAsia="ja-JP"/>
        </w:rPr>
        <w:t>meters’</w:t>
      </w:r>
      <w:r w:rsidRPr="00EA1460">
        <w:rPr>
          <w:sz w:val="20"/>
          <w:lang w:eastAsia="ja-JP"/>
        </w:rPr>
        <w:t xml:space="preserve"> altitude, and at 120 meters altitude are shown </w:t>
      </w:r>
      <w:r w:rsidRPr="00EA1460">
        <w:rPr>
          <w:sz w:val="20"/>
        </w:rPr>
        <w:t xml:space="preserve">in </w:t>
      </w:r>
      <w:r w:rsidRPr="00EA1460">
        <w:rPr>
          <w:sz w:val="20"/>
        </w:rPr>
        <w:fldChar w:fldCharType="begin"/>
      </w:r>
      <w:r w:rsidRPr="00E34900">
        <w:rPr>
          <w:sz w:val="20"/>
        </w:rPr>
        <w:instrText xml:space="preserve"> REF _Ref473539755 \h \t \* \MERGEFORMAT </w:instrText>
      </w:r>
      <w:r w:rsidRPr="00EA1460">
        <w:rPr>
          <w:sz w:val="20"/>
        </w:rPr>
      </w:r>
      <w:r w:rsidRPr="00EA1460">
        <w:rPr>
          <w:sz w:val="20"/>
        </w:rPr>
        <w:fldChar w:fldCharType="separate"/>
      </w:r>
      <w:r w:rsidRPr="00E34900">
        <w:rPr>
          <w:sz w:val="20"/>
        </w:rPr>
        <w:t xml:space="preserve">Figure </w:t>
      </w:r>
      <w:r w:rsidR="00855C4D" w:rsidRPr="00E34900">
        <w:rPr>
          <w:sz w:val="20"/>
        </w:rPr>
        <w:t>2</w:t>
      </w:r>
      <w:r w:rsidRPr="00EA1460">
        <w:rPr>
          <w:sz w:val="20"/>
        </w:rPr>
        <w:fldChar w:fldCharType="end"/>
      </w:r>
      <w:r w:rsidRPr="00EA1460">
        <w:rPr>
          <w:sz w:val="20"/>
        </w:rPr>
        <w:t xml:space="preserve">. </w:t>
      </w:r>
    </w:p>
    <w:p w14:paraId="40E91170" w14:textId="77777777" w:rsidR="00EE2737" w:rsidRPr="00EA1460" w:rsidRDefault="00D97396" w:rsidP="004B4554">
      <w:pPr>
        <w:pStyle w:val="B-Body"/>
        <w:ind w:left="0"/>
        <w:rPr>
          <w:sz w:val="20"/>
          <w:lang w:eastAsia="ja-JP"/>
        </w:rPr>
      </w:pPr>
      <w:r w:rsidRPr="00EA1460">
        <w:rPr>
          <w:sz w:val="20"/>
          <w:lang w:eastAsia="ja-JP"/>
        </w:rPr>
        <w:t xml:space="preserve">First we observe that the distribution for 50 meters and 120 meters are essentially identical. This indicates that, for this layout, the distribution is dominated by the propagation model differences between the ground and airborne UEs. </w:t>
      </w:r>
    </w:p>
    <w:p w14:paraId="4609B5AE" w14:textId="77777777" w:rsidR="00EE2737" w:rsidRPr="00EA1460" w:rsidRDefault="00EE2737" w:rsidP="00EE2737">
      <w:pPr>
        <w:jc w:val="both"/>
      </w:pPr>
    </w:p>
    <w:p w14:paraId="72CB05D1" w14:textId="2CC9F3A6" w:rsidR="00D97396" w:rsidRPr="002430E5" w:rsidRDefault="00EE2737" w:rsidP="001F3971">
      <w:pPr>
        <w:jc w:val="both"/>
        <w:rPr>
          <w:b/>
        </w:rPr>
      </w:pPr>
      <w:r w:rsidRPr="002430E5">
        <w:rPr>
          <w:b/>
          <w:u w:val="single"/>
        </w:rPr>
        <w:t>Observation 1:</w:t>
      </w:r>
      <w:r w:rsidR="00D57E5C" w:rsidRPr="002430E5">
        <w:rPr>
          <w:b/>
          <w:lang w:eastAsia="ja-JP"/>
        </w:rPr>
        <w:t xml:space="preserve"> </w:t>
      </w:r>
      <w:r w:rsidR="00D57E5C" w:rsidRPr="002430E5">
        <w:rPr>
          <w:b/>
        </w:rPr>
        <w:t xml:space="preserve">DL </w:t>
      </w:r>
      <w:r w:rsidR="00D97396" w:rsidRPr="002430E5">
        <w:rPr>
          <w:b/>
        </w:rPr>
        <w:t>SINRs are lower for airborne UEs</w:t>
      </w:r>
      <w:r w:rsidR="001F3971" w:rsidRPr="002430E5">
        <w:rPr>
          <w:b/>
        </w:rPr>
        <w:t>.</w:t>
      </w:r>
      <w:r w:rsidR="00D97396" w:rsidRPr="002430E5">
        <w:rPr>
          <w:b/>
        </w:rPr>
        <w:t xml:space="preserve"> The median degradation relative to ground users is approximately 5 dB.</w:t>
      </w:r>
    </w:p>
    <w:p w14:paraId="7EE581CC" w14:textId="77777777" w:rsidR="003E69A4" w:rsidRPr="002430E5" w:rsidRDefault="003E69A4" w:rsidP="003E69A4">
      <w:pPr>
        <w:jc w:val="both"/>
        <w:rPr>
          <w:b/>
        </w:rPr>
      </w:pPr>
      <w:r w:rsidRPr="002430E5">
        <w:rPr>
          <w:b/>
          <w:u w:val="single"/>
        </w:rPr>
        <w:t>Observation 2:</w:t>
      </w:r>
      <w:r w:rsidRPr="002430E5">
        <w:rPr>
          <w:b/>
        </w:rPr>
        <w:t xml:space="preserve"> DL outage probability (defined here as SINR &lt; -6 dB) is very similar for ground and airborne users, and is approximately 1%. </w:t>
      </w:r>
    </w:p>
    <w:p w14:paraId="4BCEAD90" w14:textId="77777777" w:rsidR="00D97396" w:rsidRPr="00EA1460" w:rsidRDefault="00D97396" w:rsidP="00D97396">
      <w:pPr>
        <w:pStyle w:val="A-Anchor"/>
        <w:rPr>
          <w:sz w:val="20"/>
        </w:rPr>
      </w:pPr>
      <w:r w:rsidRPr="00EA1460">
        <w:rPr>
          <w:noProof/>
          <w:sz w:val="20"/>
          <w:lang w:eastAsia="ja-JP"/>
        </w:rPr>
        <w:lastRenderedPageBreak/>
        <w:drawing>
          <wp:inline distT="0" distB="0" distL="0" distR="0" wp14:anchorId="407FF97F" wp14:editId="0893516F">
            <wp:extent cx="4486275" cy="2494598"/>
            <wp:effectExtent l="0" t="0" r="0" b="127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3"/>
                    <a:srcRect t="7453"/>
                    <a:stretch/>
                  </pic:blipFill>
                  <pic:spPr bwMode="auto">
                    <a:xfrm>
                      <a:off x="0" y="0"/>
                      <a:ext cx="4514828" cy="2510475"/>
                    </a:xfrm>
                    <a:prstGeom prst="rect">
                      <a:avLst/>
                    </a:prstGeom>
                    <a:ln>
                      <a:noFill/>
                    </a:ln>
                    <a:extLst>
                      <a:ext uri="{53640926-AAD7-44D8-BBD7-CCE9431645EC}">
                        <a14:shadowObscured xmlns:a14="http://schemas.microsoft.com/office/drawing/2010/main"/>
                      </a:ext>
                    </a:extLst>
                  </pic:spPr>
                </pic:pic>
              </a:graphicData>
            </a:graphic>
          </wp:inline>
        </w:drawing>
      </w:r>
    </w:p>
    <w:p w14:paraId="52E54474" w14:textId="192E21A1" w:rsidR="00D97396" w:rsidRPr="00EA1460" w:rsidRDefault="00D97396" w:rsidP="001F3971">
      <w:pPr>
        <w:pStyle w:val="F-FigureTitle"/>
        <w:ind w:left="0"/>
        <w:jc w:val="center"/>
        <w:rPr>
          <w:rFonts w:ascii="Times New Roman" w:hAnsi="Times New Roman" w:cs="Times New Roman"/>
          <w:sz w:val="20"/>
        </w:rPr>
      </w:pPr>
      <w:bookmarkStart w:id="5" w:name="_Ref473539755"/>
      <w:bookmarkStart w:id="6" w:name="_Toc473295381"/>
      <w:bookmarkStart w:id="7" w:name="_Toc474155533"/>
      <w:r w:rsidRPr="00EA1460">
        <w:rPr>
          <w:rFonts w:ascii="Times New Roman" w:hAnsi="Times New Roman" w:cs="Times New Roman"/>
          <w:sz w:val="20"/>
        </w:rPr>
        <w:t xml:space="preserve">Figure </w:t>
      </w:r>
      <w:bookmarkEnd w:id="5"/>
      <w:r w:rsidR="00855C4D" w:rsidRPr="00EA1460">
        <w:rPr>
          <w:rFonts w:ascii="Times New Roman" w:hAnsi="Times New Roman" w:cs="Times New Roman"/>
          <w:sz w:val="20"/>
        </w:rPr>
        <w:t>2</w:t>
      </w:r>
      <w:r w:rsidRPr="00EA1460">
        <w:rPr>
          <w:rFonts w:ascii="Times New Roman" w:hAnsi="Times New Roman" w:cs="Times New Roman"/>
          <w:sz w:val="20"/>
        </w:rPr>
        <w:t xml:space="preserve"> Distributions of downlink SINR for UEs at ground, 50 meter, and 120 meter altitudes</w:t>
      </w:r>
      <w:bookmarkEnd w:id="6"/>
      <w:bookmarkEnd w:id="7"/>
    </w:p>
    <w:p w14:paraId="7E5F41CF" w14:textId="00B26B1F" w:rsidR="00D97396" w:rsidRDefault="00D97396" w:rsidP="006F51AA">
      <w:pPr>
        <w:jc w:val="both"/>
      </w:pPr>
    </w:p>
    <w:p w14:paraId="77810F27" w14:textId="74F4C11E" w:rsidR="00D97396" w:rsidRDefault="00D97396" w:rsidP="00D97396">
      <w:pPr>
        <w:pStyle w:val="Heading1"/>
        <w:numPr>
          <w:ilvl w:val="0"/>
          <w:numId w:val="2"/>
        </w:numPr>
      </w:pPr>
      <w:r>
        <w:t>Uplink Simulations</w:t>
      </w:r>
    </w:p>
    <w:p w14:paraId="142018F8" w14:textId="0950CA3A" w:rsidR="004B4554" w:rsidRPr="00EA1460" w:rsidRDefault="004B4554" w:rsidP="00E34900">
      <w:pPr>
        <w:pStyle w:val="B-Body"/>
        <w:ind w:left="0"/>
        <w:jc w:val="both"/>
        <w:rPr>
          <w:sz w:val="20"/>
        </w:rPr>
      </w:pPr>
      <w:r w:rsidRPr="00EA1460">
        <w:rPr>
          <w:sz w:val="20"/>
        </w:rPr>
        <w:t xml:space="preserve">Uplink simulations are performed to study the impact of altitude on interference levels at the cells and throughputs available </w:t>
      </w:r>
      <w:r w:rsidR="00855C4D" w:rsidRPr="00EA1460">
        <w:rPr>
          <w:sz w:val="20"/>
        </w:rPr>
        <w:t>at the</w:t>
      </w:r>
      <w:r w:rsidRPr="00EA1460">
        <w:rPr>
          <w:sz w:val="20"/>
        </w:rPr>
        <w:t xml:space="preserve"> UEs. </w:t>
      </w:r>
      <w:r w:rsidR="00855C4D" w:rsidRPr="00EA1460">
        <w:rPr>
          <w:sz w:val="20"/>
        </w:rPr>
        <w:t>Features are studied here without referring to the precise feature design and configuration implemented in today’s networks.</w:t>
      </w:r>
    </w:p>
    <w:p w14:paraId="2E6A98DE" w14:textId="259EF117" w:rsidR="004B4554" w:rsidRPr="00EA1460" w:rsidRDefault="004B4554" w:rsidP="00E34900">
      <w:pPr>
        <w:pStyle w:val="B-Body"/>
        <w:ind w:left="0"/>
        <w:jc w:val="both"/>
        <w:rPr>
          <w:sz w:val="20"/>
        </w:rPr>
      </w:pPr>
      <w:r w:rsidRPr="00EA1460">
        <w:rPr>
          <w:sz w:val="20"/>
        </w:rPr>
        <w:t xml:space="preserve">In contrast to full-buffer downlink simulations, uplink performance for a UE depends on the specific location (including altitude) and transmissions from neighboring UEs because they directly interfere with one another. </w:t>
      </w:r>
      <w:r w:rsidR="00855C4D" w:rsidRPr="00EA1460">
        <w:rPr>
          <w:sz w:val="20"/>
        </w:rPr>
        <w:t>Thus,</w:t>
      </w:r>
      <w:r w:rsidRPr="00EA1460">
        <w:rPr>
          <w:sz w:val="20"/>
        </w:rPr>
        <w:t xml:space="preserve"> it no longer makes sense to simulate all UEs at a single altitude as we did for the downlink simulations. Here we fix the number of UEs per cell to 30, and perform simulations that vary the split of these users between ground level, and altitude. Here we selected 120 meters for all drone UEs.</w:t>
      </w:r>
    </w:p>
    <w:p w14:paraId="5DF8F9B2" w14:textId="77777777" w:rsidR="004B4554" w:rsidRPr="00EA1460" w:rsidRDefault="004B4554" w:rsidP="00E34900">
      <w:pPr>
        <w:pStyle w:val="B-Body"/>
        <w:ind w:left="0"/>
        <w:jc w:val="both"/>
        <w:rPr>
          <w:sz w:val="20"/>
        </w:rPr>
      </w:pPr>
      <w:r w:rsidRPr="00EA1460">
        <w:rPr>
          <w:sz w:val="20"/>
        </w:rPr>
        <w:t xml:space="preserve">We make use of the interference to thermal (IoT) ratio metric in these studies. This metric sums the contribution of received signal energy from all UEs served by neighboring cells and divides this by thermal noise. The plot axes are labeled </w:t>
      </w:r>
      <w:r w:rsidRPr="00EA1460">
        <w:rPr>
          <w:i/>
          <w:sz w:val="20"/>
        </w:rPr>
        <w:t>preMMSEIoT</w:t>
      </w:r>
      <w:r w:rsidRPr="00EA1460">
        <w:rPr>
          <w:sz w:val="20"/>
        </w:rPr>
        <w:t xml:space="preserve"> to emphasize this metric is computed prior to the processing in the receive demodulator.</w:t>
      </w:r>
    </w:p>
    <w:p w14:paraId="33900060" w14:textId="02B588E1" w:rsidR="004B4554" w:rsidRDefault="004B4554" w:rsidP="004B4554">
      <w:pPr>
        <w:pStyle w:val="B-Body"/>
        <w:ind w:left="0"/>
      </w:pPr>
    </w:p>
    <w:p w14:paraId="366B2D21" w14:textId="28753FFB" w:rsidR="004B4554" w:rsidRDefault="004B4554" w:rsidP="004B4554">
      <w:pPr>
        <w:pStyle w:val="Heading2"/>
      </w:pPr>
      <w:bookmarkStart w:id="8" w:name="_Ref473540263"/>
      <w:bookmarkStart w:id="9" w:name="_Toc473812097"/>
      <w:r w:rsidRPr="004B4554">
        <w:rPr>
          <w:sz w:val="26"/>
          <w:szCs w:val="26"/>
        </w:rPr>
        <w:t>4.</w:t>
      </w:r>
      <w:r>
        <w:t>1. Analysis of results – power control</w:t>
      </w:r>
      <w:bookmarkEnd w:id="8"/>
      <w:bookmarkEnd w:id="9"/>
    </w:p>
    <w:p w14:paraId="48AF250D" w14:textId="796515CE" w:rsidR="004B4554" w:rsidRPr="00EA1460" w:rsidRDefault="004B4554" w:rsidP="00E34900">
      <w:pPr>
        <w:pStyle w:val="B-Body"/>
        <w:keepNext/>
        <w:keepLines/>
        <w:ind w:left="0"/>
        <w:jc w:val="both"/>
        <w:rPr>
          <w:sz w:val="20"/>
        </w:rPr>
      </w:pPr>
      <w:r w:rsidRPr="00EA1460">
        <w:rPr>
          <w:sz w:val="20"/>
        </w:rPr>
        <w:fldChar w:fldCharType="begin"/>
      </w:r>
      <w:r w:rsidRPr="00E34900">
        <w:rPr>
          <w:sz w:val="20"/>
        </w:rPr>
        <w:instrText xml:space="preserve"> REF _Ref473557239 \h \t \* \MERGEFORMAT </w:instrText>
      </w:r>
      <w:r w:rsidRPr="00EA1460">
        <w:rPr>
          <w:sz w:val="20"/>
        </w:rPr>
      </w:r>
      <w:r w:rsidRPr="00EA1460">
        <w:rPr>
          <w:sz w:val="20"/>
        </w:rPr>
        <w:fldChar w:fldCharType="separate"/>
      </w:r>
      <w:r w:rsidRPr="00E34900">
        <w:rPr>
          <w:sz w:val="20"/>
        </w:rPr>
        <w:t xml:space="preserve">Figure </w:t>
      </w:r>
      <w:r w:rsidR="008B751D" w:rsidRPr="00E34900">
        <w:rPr>
          <w:sz w:val="20"/>
        </w:rPr>
        <w:t>3</w:t>
      </w:r>
      <w:r w:rsidRPr="00EA1460">
        <w:rPr>
          <w:sz w:val="20"/>
        </w:rPr>
        <w:fldChar w:fldCharType="end"/>
      </w:r>
      <w:r w:rsidRPr="00EA1460">
        <w:rPr>
          <w:sz w:val="20"/>
        </w:rPr>
        <w:t xml:space="preserve"> shows IoT distributions resulting from simulations using a baseline open loop power control (OLPC) algorithm. This power control algorithm is written </w:t>
      </w:r>
    </w:p>
    <w:p w14:paraId="022D4A4E" w14:textId="77777777" w:rsidR="004B4554" w:rsidRPr="00EA1460" w:rsidRDefault="004B4554" w:rsidP="004B4554">
      <w:pPr>
        <w:pStyle w:val="E-Equation"/>
        <w:tabs>
          <w:tab w:val="left" w:pos="7920"/>
        </w:tabs>
        <w:ind w:left="0"/>
        <w:rPr>
          <w:vanish/>
          <w:sz w:val="20"/>
          <w:specVanish/>
        </w:rPr>
      </w:pPr>
      <w:r w:rsidRPr="00EA1460">
        <w:rPr>
          <w:sz w:val="20"/>
        </w:rPr>
        <w:br/>
      </w:r>
      <w:r w:rsidRPr="00EA1460">
        <w:rPr>
          <w:sz w:val="20"/>
        </w:rPr>
        <w:tab/>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TX</m:t>
            </m:r>
          </m:sub>
        </m:sSub>
        <m:r>
          <w:rPr>
            <w:rFonts w:ascii="Cambria Math" w:hAnsi="Cambria Math"/>
            <w:sz w:val="20"/>
          </w:rPr>
          <m:t>=</m:t>
        </m:r>
        <m:func>
          <m:funcPr>
            <m:ctrlPr>
              <w:rPr>
                <w:rFonts w:ascii="Cambria Math" w:hAnsi="Cambria Math"/>
                <w:i/>
                <w:sz w:val="20"/>
              </w:rPr>
            </m:ctrlPr>
          </m:funcPr>
          <m:fName>
            <m:r>
              <m:rPr>
                <m:sty m:val="p"/>
              </m:rPr>
              <w:rPr>
                <w:rFonts w:ascii="Cambria Math" w:hAnsi="Cambria Math"/>
                <w:sz w:val="20"/>
              </w:rPr>
              <m:t>min</m:t>
            </m:r>
          </m:fName>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max</m:t>
                    </m:r>
                  </m:sub>
                </m:sSub>
                <m:r>
                  <w:rPr>
                    <w:rFonts w:ascii="Cambria Math" w:hAnsi="Cambria Math"/>
                    <w:sz w:val="20"/>
                  </w:rPr>
                  <m:t>, 10</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r>
                      <w:rPr>
                        <w:rFonts w:ascii="Cambria Math" w:hAnsi="Cambria Math"/>
                        <w:sz w:val="20"/>
                      </w:rPr>
                      <m:t>M</m:t>
                    </m:r>
                  </m:e>
                </m:d>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+α∙TPL</m:t>
                </m:r>
              </m:e>
            </m:d>
          </m:e>
        </m:func>
        <m:r>
          <w:rPr>
            <w:rFonts w:ascii="Cambria Math" w:hAnsi="Cambria Math"/>
            <w:sz w:val="20"/>
          </w:rPr>
          <m:t xml:space="preserve"> </m:t>
        </m:r>
      </m:oMath>
      <w:r w:rsidRPr="00EA1460">
        <w:rPr>
          <w:sz w:val="20"/>
        </w:rPr>
        <w:tab/>
      </w:r>
      <w:r w:rsidRPr="00EA1460">
        <w:rPr>
          <w:sz w:val="20"/>
        </w:rPr>
        <w:tab/>
      </w:r>
    </w:p>
    <w:p w14:paraId="1E883900" w14:textId="5E48912F" w:rsidR="004B4554" w:rsidRPr="00EA1460" w:rsidRDefault="004B4554" w:rsidP="004B4554">
      <w:pPr>
        <w:pStyle w:val="E-Equation"/>
        <w:ind w:left="0"/>
        <w:rPr>
          <w:sz w:val="20"/>
        </w:rPr>
      </w:pPr>
      <w:r w:rsidRPr="00EA1460">
        <w:rPr>
          <w:sz w:val="20"/>
        </w:rPr>
        <w:t xml:space="preserve"> (</w:t>
      </w:r>
      <w:r w:rsidR="00C57FF2" w:rsidRPr="00EA1460">
        <w:rPr>
          <w:sz w:val="20"/>
        </w:rPr>
        <w:t>4</w:t>
      </w:r>
      <w:r w:rsidRPr="00EA1460">
        <w:rPr>
          <w:sz w:val="20"/>
        </w:rPr>
        <w:t>-</w:t>
      </w:r>
      <w:r w:rsidRPr="00EA1460">
        <w:rPr>
          <w:sz w:val="20"/>
        </w:rPr>
        <w:fldChar w:fldCharType="begin"/>
      </w:r>
      <w:r w:rsidRPr="00EA1460">
        <w:rPr>
          <w:sz w:val="20"/>
        </w:rPr>
        <w:instrText xml:space="preserve"> SEQ Equation \* ARABIC \s 1 </w:instrText>
      </w:r>
      <w:r w:rsidRPr="00EA1460">
        <w:rPr>
          <w:sz w:val="20"/>
        </w:rPr>
        <w:fldChar w:fldCharType="separate"/>
      </w:r>
      <w:r w:rsidRPr="00EA1460">
        <w:rPr>
          <w:noProof/>
          <w:sz w:val="20"/>
        </w:rPr>
        <w:t>2</w:t>
      </w:r>
      <w:r w:rsidRPr="00EA1460">
        <w:rPr>
          <w:noProof/>
          <w:sz w:val="20"/>
        </w:rPr>
        <w:fldChar w:fldCharType="end"/>
      </w:r>
      <w:r w:rsidRPr="00EA1460">
        <w:rPr>
          <w:sz w:val="20"/>
        </w:rPr>
        <w:t>)</w:t>
      </w:r>
    </w:p>
    <w:p w14:paraId="6AFF8459" w14:textId="77777777" w:rsidR="004B4554" w:rsidRPr="00EA1460" w:rsidRDefault="004B4554" w:rsidP="004B4554">
      <w:pPr>
        <w:pStyle w:val="B-Body"/>
        <w:ind w:left="0"/>
        <w:rPr>
          <w:sz w:val="20"/>
        </w:rPr>
      </w:pPr>
      <w:r w:rsidRPr="00EA1460">
        <w:rPr>
          <w:i/>
          <w:sz w:val="20"/>
        </w:rPr>
        <w:t>where</w:t>
      </w:r>
    </w:p>
    <w:p w14:paraId="678548E2" w14:textId="77777777" w:rsidR="004B4554" w:rsidRPr="00EA1460" w:rsidRDefault="004B4554" w:rsidP="004B4554">
      <w:pPr>
        <w:pStyle w:val="E-Equation"/>
        <w:ind w:left="0"/>
        <w:rPr>
          <w:sz w:val="20"/>
        </w:rPr>
      </w:pPr>
      <w:r w:rsidRPr="00EA1460">
        <w:rPr>
          <w:sz w:val="20"/>
        </w:rPr>
        <w:tab/>
      </w:r>
      <m:oMath>
        <m:sSub>
          <m:sSubPr>
            <m:ctrlPr>
              <w:rPr>
                <w:rFonts w:ascii="Cambria Math" w:hAnsi="Cambria Math"/>
                <w:sz w:val="20"/>
              </w:rPr>
            </m:ctrlPr>
          </m:sSubPr>
          <m:e>
            <m:r>
              <w:rPr>
                <w:rFonts w:ascii="Cambria Math" w:hAnsi="Cambria Math"/>
                <w:sz w:val="20"/>
              </w:rPr>
              <m:t>P</m:t>
            </m:r>
          </m:e>
          <m:sub>
            <m:r>
              <w:rPr>
                <w:rFonts w:ascii="Cambria Math" w:hAnsi="Cambria Math"/>
                <w:sz w:val="20"/>
              </w:rPr>
              <m:t>max</m:t>
            </m:r>
          </m:sub>
        </m:sSub>
      </m:oMath>
      <w:r w:rsidRPr="00EA1460">
        <w:rPr>
          <w:sz w:val="20"/>
        </w:rPr>
        <w:t xml:space="preserve"> = maximum power</w:t>
      </w:r>
    </w:p>
    <w:p w14:paraId="7F49FE5C" w14:textId="77777777" w:rsidR="004B4554" w:rsidRPr="00EA1460" w:rsidRDefault="004B4554" w:rsidP="004B4554">
      <w:pPr>
        <w:pStyle w:val="B-Body"/>
        <w:tabs>
          <w:tab w:val="clear" w:pos="2160"/>
          <w:tab w:val="left" w:pos="1440"/>
        </w:tabs>
        <w:ind w:left="0"/>
        <w:rPr>
          <w:rFonts w:eastAsia="Times New Roman"/>
          <w:iCs/>
          <w:sz w:val="20"/>
        </w:rPr>
      </w:pPr>
      <w:r w:rsidRPr="00EA1460">
        <w:rPr>
          <w:rFonts w:eastAsia="Times New Roman"/>
          <w:iCs/>
          <w:sz w:val="20"/>
        </w:rPr>
        <w:tab/>
      </w:r>
      <m:oMath>
        <m:r>
          <w:rPr>
            <w:rFonts w:ascii="Cambria Math" w:hAnsi="Cambria Math"/>
            <w:sz w:val="20"/>
          </w:rPr>
          <m:t>M</m:t>
        </m:r>
      </m:oMath>
      <w:r w:rsidRPr="00EA1460">
        <w:rPr>
          <w:rFonts w:eastAsia="Times New Roman"/>
          <w:iCs/>
          <w:sz w:val="20"/>
        </w:rPr>
        <w:t xml:space="preserve"> = number of RBs assigned</w:t>
      </w:r>
    </w:p>
    <w:p w14:paraId="54AFFDB7" w14:textId="77777777" w:rsidR="004B4554" w:rsidRPr="00EA1460" w:rsidRDefault="004B4554" w:rsidP="004B4554">
      <w:pPr>
        <w:pStyle w:val="E-Equation"/>
        <w:ind w:left="0"/>
        <w:rPr>
          <w:sz w:val="20"/>
        </w:rPr>
      </w:pPr>
      <w:r w:rsidRPr="00EA1460">
        <w:rPr>
          <w:sz w:val="20"/>
        </w:rPr>
        <w:tab/>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w:r w:rsidRPr="00EA1460">
        <w:rPr>
          <w:sz w:val="20"/>
        </w:rPr>
        <w:t xml:space="preserve"> = nominal value</w:t>
      </w:r>
    </w:p>
    <w:p w14:paraId="7EA53DB4" w14:textId="77777777" w:rsidR="004B4554" w:rsidRPr="00EA1460" w:rsidRDefault="004B4554" w:rsidP="004B4554">
      <w:pPr>
        <w:pStyle w:val="E-Equation"/>
        <w:ind w:left="0"/>
        <w:rPr>
          <w:sz w:val="20"/>
        </w:rPr>
      </w:pPr>
      <w:r w:rsidRPr="00EA1460">
        <w:rPr>
          <w:sz w:val="20"/>
        </w:rPr>
        <w:tab/>
      </w:r>
      <m:oMath>
        <m:r>
          <m:rPr>
            <m:sty m:val="p"/>
          </m:rPr>
          <w:rPr>
            <w:rFonts w:ascii="Cambria Math" w:hAnsi="Cambria Math"/>
            <w:sz w:val="20"/>
          </w:rPr>
          <m:t>α</m:t>
        </m:r>
      </m:oMath>
      <w:r w:rsidRPr="00EA1460">
        <w:rPr>
          <w:sz w:val="20"/>
        </w:rPr>
        <w:t xml:space="preserve"> = path loss scaling</w:t>
      </w:r>
    </w:p>
    <w:p w14:paraId="243D15A2" w14:textId="77777777" w:rsidR="004B4554" w:rsidRPr="00EA1460" w:rsidRDefault="004B4554" w:rsidP="004B4554">
      <w:pPr>
        <w:pStyle w:val="E-Equation"/>
        <w:ind w:left="0"/>
        <w:rPr>
          <w:sz w:val="20"/>
        </w:rPr>
      </w:pPr>
      <w:r w:rsidRPr="00EA1460">
        <w:rPr>
          <w:sz w:val="20"/>
        </w:rPr>
        <w:tab/>
      </w:r>
      <m:oMath>
        <m:r>
          <w:rPr>
            <w:rFonts w:ascii="Cambria Math" w:hAnsi="Cambria Math"/>
            <w:sz w:val="20"/>
          </w:rPr>
          <m:t>TPL</m:t>
        </m:r>
      </m:oMath>
      <w:r w:rsidRPr="00EA1460">
        <w:rPr>
          <w:sz w:val="20"/>
        </w:rPr>
        <w:t>= estimated total (including antenna gains) path loss</w:t>
      </w:r>
    </w:p>
    <w:p w14:paraId="5673A96A" w14:textId="3EF7A2D0" w:rsidR="004B4554" w:rsidRPr="00EA1460" w:rsidRDefault="004B4554" w:rsidP="004B4554">
      <w:pPr>
        <w:pStyle w:val="E-Equation"/>
        <w:ind w:left="0"/>
        <w:rPr>
          <w:sz w:val="20"/>
        </w:rPr>
      </w:pPr>
      <w:r w:rsidRPr="00EA1460">
        <w:rPr>
          <w:sz w:val="20"/>
        </w:rPr>
        <w:t xml:space="preserve">Here,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max</m:t>
            </m:r>
          </m:sub>
        </m:sSub>
      </m:oMath>
      <w:r w:rsidRPr="00EA1460">
        <w:rPr>
          <w:sz w:val="20"/>
        </w:rPr>
        <w:t xml:space="preserve">= 23 dBm,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w:r w:rsidRPr="00EA1460">
        <w:rPr>
          <w:sz w:val="20"/>
        </w:rPr>
        <w:t xml:space="preserve"> = -84 dBm, and </w:t>
      </w:r>
      <m:oMath>
        <m:r>
          <m:rPr>
            <m:sty m:val="p"/>
          </m:rPr>
          <w:rPr>
            <w:rFonts w:ascii="Cambria Math" w:hAnsi="Cambria Math"/>
            <w:sz w:val="20"/>
          </w:rPr>
          <m:t>α</m:t>
        </m:r>
      </m:oMath>
      <w:r w:rsidRPr="00EA1460">
        <w:rPr>
          <w:sz w:val="20"/>
        </w:rPr>
        <w:t xml:space="preserve"> = 0.7.</w:t>
      </w:r>
    </w:p>
    <w:p w14:paraId="2E371EE0" w14:textId="77777777" w:rsidR="004B4554" w:rsidRPr="00EA1460" w:rsidRDefault="004B4554" w:rsidP="00E34900">
      <w:pPr>
        <w:pStyle w:val="B-Body"/>
        <w:ind w:left="0"/>
        <w:jc w:val="both"/>
        <w:rPr>
          <w:sz w:val="20"/>
        </w:rPr>
      </w:pPr>
      <w:r w:rsidRPr="00EA1460">
        <w:rPr>
          <w:sz w:val="20"/>
        </w:rPr>
        <w:lastRenderedPageBreak/>
        <w:t xml:space="preserve">Five cases were simulated – all ground UEs, all drone UEs, and splits of 3.5%, 17%, and 50% drone UEs. Since there were approximately 30 UEs per cell for these simulations, this translates to, on average, 1, 5, and 15 drone UEs per cell. </w:t>
      </w:r>
    </w:p>
    <w:p w14:paraId="13A84946" w14:textId="77777777" w:rsidR="004B4554" w:rsidRPr="00EA1460" w:rsidRDefault="004B4554" w:rsidP="004B4554">
      <w:pPr>
        <w:pStyle w:val="A-Anchor"/>
        <w:rPr>
          <w:sz w:val="20"/>
        </w:rPr>
      </w:pPr>
      <w:r w:rsidRPr="00EA1460">
        <w:rPr>
          <w:noProof/>
          <w:sz w:val="20"/>
          <w:lang w:eastAsia="ja-JP"/>
        </w:rPr>
        <w:drawing>
          <wp:inline distT="0" distB="0" distL="0" distR="0" wp14:anchorId="1132907D" wp14:editId="5BDDD4D7">
            <wp:extent cx="4556760" cy="2928201"/>
            <wp:effectExtent l="0" t="0" r="0" b="5715"/>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14"/>
                    <a:srcRect t="6678"/>
                    <a:stretch/>
                  </pic:blipFill>
                  <pic:spPr bwMode="auto">
                    <a:xfrm>
                      <a:off x="0" y="0"/>
                      <a:ext cx="4582620" cy="2944819"/>
                    </a:xfrm>
                    <a:prstGeom prst="rect">
                      <a:avLst/>
                    </a:prstGeom>
                    <a:ln>
                      <a:noFill/>
                    </a:ln>
                    <a:extLst>
                      <a:ext uri="{53640926-AAD7-44D8-BBD7-CCE9431645EC}">
                        <a14:shadowObscured xmlns:a14="http://schemas.microsoft.com/office/drawing/2010/main"/>
                      </a:ext>
                    </a:extLst>
                  </pic:spPr>
                </pic:pic>
              </a:graphicData>
            </a:graphic>
          </wp:inline>
        </w:drawing>
      </w:r>
    </w:p>
    <w:p w14:paraId="3A0FCA5D" w14:textId="19612C86" w:rsidR="004B4554" w:rsidRPr="00EA1460" w:rsidRDefault="004B4554" w:rsidP="001F3971">
      <w:pPr>
        <w:pStyle w:val="F-FigureTitle"/>
        <w:ind w:left="0"/>
        <w:jc w:val="center"/>
        <w:rPr>
          <w:rFonts w:ascii="Times New Roman" w:hAnsi="Times New Roman" w:cs="Times New Roman"/>
          <w:sz w:val="20"/>
        </w:rPr>
      </w:pPr>
      <w:bookmarkStart w:id="10" w:name="_Ref473557239"/>
      <w:bookmarkStart w:id="11" w:name="_Toc473295382"/>
      <w:bookmarkStart w:id="12" w:name="_Toc474155534"/>
      <w:r w:rsidRPr="00EA1460">
        <w:rPr>
          <w:rFonts w:ascii="Times New Roman" w:hAnsi="Times New Roman" w:cs="Times New Roman"/>
          <w:sz w:val="20"/>
        </w:rPr>
        <w:t xml:space="preserve">Figure </w:t>
      </w:r>
      <w:bookmarkEnd w:id="10"/>
      <w:r w:rsidR="008B751D">
        <w:rPr>
          <w:rFonts w:ascii="Times New Roman" w:hAnsi="Times New Roman" w:cs="Times New Roman"/>
          <w:sz w:val="20"/>
        </w:rPr>
        <w:t>3</w:t>
      </w:r>
      <w:r w:rsidRPr="00EA1460">
        <w:rPr>
          <w:rFonts w:ascii="Times New Roman" w:hAnsi="Times New Roman" w:cs="Times New Roman"/>
          <w:sz w:val="20"/>
        </w:rPr>
        <w:t xml:space="preserve"> IoT distributions with OLPC</w:t>
      </w:r>
      <w:bookmarkEnd w:id="11"/>
      <w:bookmarkEnd w:id="12"/>
    </w:p>
    <w:p w14:paraId="0AD313A7" w14:textId="3B4781CD" w:rsidR="004B4554" w:rsidRPr="00EA1460" w:rsidRDefault="004B4554" w:rsidP="00E34900">
      <w:pPr>
        <w:pStyle w:val="B-Body"/>
        <w:ind w:left="0"/>
        <w:jc w:val="both"/>
        <w:rPr>
          <w:sz w:val="20"/>
        </w:rPr>
      </w:pPr>
      <w:r w:rsidRPr="00EA1460">
        <w:rPr>
          <w:sz w:val="20"/>
        </w:rPr>
        <w:t xml:space="preserve">As seen in </w:t>
      </w:r>
      <w:r w:rsidRPr="00EA1460">
        <w:rPr>
          <w:sz w:val="20"/>
        </w:rPr>
        <w:fldChar w:fldCharType="begin"/>
      </w:r>
      <w:r w:rsidRPr="00E34900">
        <w:rPr>
          <w:sz w:val="20"/>
        </w:rPr>
        <w:instrText xml:space="preserve"> REF _Ref473557239 \h \t \* \MERGEFORMAT </w:instrText>
      </w:r>
      <w:r w:rsidRPr="00EA1460">
        <w:rPr>
          <w:sz w:val="20"/>
        </w:rPr>
      </w:r>
      <w:r w:rsidRPr="00EA1460">
        <w:rPr>
          <w:sz w:val="20"/>
        </w:rPr>
        <w:fldChar w:fldCharType="separate"/>
      </w:r>
      <w:r w:rsidRPr="00E34900">
        <w:rPr>
          <w:sz w:val="20"/>
        </w:rPr>
        <w:t xml:space="preserve">Figure </w:t>
      </w:r>
      <w:r w:rsidR="008B751D" w:rsidRPr="00E34900">
        <w:rPr>
          <w:sz w:val="20"/>
        </w:rPr>
        <w:t>3</w:t>
      </w:r>
      <w:r w:rsidRPr="00EA1460">
        <w:rPr>
          <w:sz w:val="20"/>
        </w:rPr>
        <w:fldChar w:fldCharType="end"/>
      </w:r>
      <w:r w:rsidRPr="00EA1460">
        <w:rPr>
          <w:sz w:val="20"/>
        </w:rPr>
        <w:t xml:space="preserve">, the IoT for all ground users has a median of 7 dB with a distribution essentially contained between 4 dB and 10 dB. This distribution and is the result of optimizing the algorithm parameters for this case targeting a 7 dB median. </w:t>
      </w:r>
    </w:p>
    <w:p w14:paraId="5EA5942E" w14:textId="69566E34" w:rsidR="004B4554" w:rsidRPr="00EA1460" w:rsidRDefault="004B4554" w:rsidP="00E34900">
      <w:pPr>
        <w:pStyle w:val="B-Body"/>
        <w:ind w:left="0"/>
        <w:jc w:val="both"/>
        <w:rPr>
          <w:sz w:val="20"/>
        </w:rPr>
      </w:pPr>
      <w:r w:rsidRPr="00EA1460">
        <w:rPr>
          <w:sz w:val="20"/>
        </w:rPr>
        <w:t xml:space="preserve">However, it is immediately apparent that the existence of drone UEs has a big impact on UL interference with these power control settings. Adding one 120 meter drone UE raises the median IoT to 13 dB. With half of the UEs being drones, the drone UEs dominate the interference produced. While these are high interference levels in the network, it should not be surprising that power control parameters optimized for ground propagation are not effective for users experiencing free space propagation. </w:t>
      </w:r>
    </w:p>
    <w:p w14:paraId="3762A578" w14:textId="7A204139" w:rsidR="00D57E5C" w:rsidRPr="002430E5" w:rsidRDefault="00EA1460" w:rsidP="00EA1460">
      <w:pPr>
        <w:jc w:val="both"/>
        <w:rPr>
          <w:b/>
        </w:rPr>
      </w:pPr>
      <w:r w:rsidRPr="00EA1460">
        <w:br/>
      </w:r>
      <w:r w:rsidRPr="002430E5">
        <w:rPr>
          <w:b/>
          <w:u w:val="single"/>
        </w:rPr>
        <w:t xml:space="preserve">Observation </w:t>
      </w:r>
      <w:r w:rsidR="00D57E5C" w:rsidRPr="002430E5">
        <w:rPr>
          <w:b/>
          <w:u w:val="single"/>
        </w:rPr>
        <w:t>3</w:t>
      </w:r>
      <w:r w:rsidRPr="002430E5">
        <w:rPr>
          <w:u w:val="single"/>
        </w:rPr>
        <w:t>:</w:t>
      </w:r>
      <w:r w:rsidRPr="00EA1460">
        <w:t xml:space="preserve"> </w:t>
      </w:r>
      <w:r w:rsidR="00D57E5C" w:rsidRPr="002430E5">
        <w:rPr>
          <w:b/>
        </w:rPr>
        <w:t>The presence of drone UEs in the network increase the interference over thermal when using the same OLPC parameters as ground UEs.</w:t>
      </w:r>
    </w:p>
    <w:p w14:paraId="7806648C" w14:textId="72DD4B60" w:rsidR="00EA1460" w:rsidRDefault="00D57E5C" w:rsidP="00EA1460">
      <w:pPr>
        <w:jc w:val="both"/>
      </w:pPr>
      <w:r>
        <w:t>In view of this increased interference levels, RAN1 should study mechanisms to alleviate the effect of drone UEs in the network, such as power control optimizations or techniques to partition resources between ground UEs and airborne UEs.</w:t>
      </w:r>
    </w:p>
    <w:p w14:paraId="2E0E2F8C" w14:textId="233E41B5" w:rsidR="00EA1460" w:rsidRPr="002430E5" w:rsidRDefault="00EA1460" w:rsidP="00EA1460">
      <w:pPr>
        <w:jc w:val="both"/>
        <w:rPr>
          <w:b/>
        </w:rPr>
      </w:pPr>
      <w:r w:rsidRPr="002430E5">
        <w:rPr>
          <w:b/>
          <w:u w:val="single"/>
        </w:rPr>
        <w:t>Proposal 1</w:t>
      </w:r>
      <w:r w:rsidRPr="002430E5">
        <w:rPr>
          <w:u w:val="single"/>
        </w:rPr>
        <w:t>:</w:t>
      </w:r>
      <w:r>
        <w:t xml:space="preserve"> </w:t>
      </w:r>
      <w:r w:rsidR="00D57E5C" w:rsidRPr="002430E5">
        <w:rPr>
          <w:b/>
        </w:rPr>
        <w:t>Further investigate techniques to alleviate interference increase created by airborne UEs (e.g. power control optimizations or resource partitioning optimizations)</w:t>
      </w:r>
    </w:p>
    <w:p w14:paraId="53524841" w14:textId="1A0DB79A" w:rsidR="00F9749E" w:rsidRDefault="00F9749E" w:rsidP="00ED4A2B">
      <w:pPr>
        <w:pStyle w:val="Heading1"/>
        <w:numPr>
          <w:ilvl w:val="0"/>
          <w:numId w:val="2"/>
        </w:numPr>
      </w:pPr>
      <w:r>
        <w:t>Conclusion</w:t>
      </w:r>
    </w:p>
    <w:p w14:paraId="30CFE7AF" w14:textId="65991420" w:rsidR="00FF2888" w:rsidRDefault="00E8280A" w:rsidP="00FF2888">
      <w:pPr>
        <w:jc w:val="both"/>
      </w:pPr>
      <w:r>
        <w:t>In this contribution</w:t>
      </w:r>
      <w:r w:rsidR="0030667F">
        <w:t>,</w:t>
      </w:r>
      <w:r w:rsidR="000A49C8">
        <w:t xml:space="preserve"> we made the following proposal</w:t>
      </w:r>
      <w:r w:rsidR="00345529">
        <w:t>s</w:t>
      </w:r>
      <w:r>
        <w:t xml:space="preserve"> and observations.</w:t>
      </w:r>
    </w:p>
    <w:p w14:paraId="1EA3FC52" w14:textId="77777777" w:rsidR="002D1A7D" w:rsidRPr="002430E5" w:rsidRDefault="002D1A7D" w:rsidP="002D1A7D">
      <w:pPr>
        <w:jc w:val="both"/>
        <w:rPr>
          <w:b/>
        </w:rPr>
      </w:pPr>
      <w:r w:rsidRPr="002430E5">
        <w:rPr>
          <w:b/>
          <w:u w:val="single"/>
        </w:rPr>
        <w:t>Observation 1:</w:t>
      </w:r>
      <w:r w:rsidRPr="002430E5">
        <w:rPr>
          <w:b/>
          <w:lang w:eastAsia="ja-JP"/>
        </w:rPr>
        <w:t xml:space="preserve"> </w:t>
      </w:r>
      <w:r w:rsidRPr="002430E5">
        <w:rPr>
          <w:b/>
        </w:rPr>
        <w:t>DL SINRs are lower for airborne UEs. The median degradation relative to ground users is approximately 5 dB.</w:t>
      </w:r>
    </w:p>
    <w:p w14:paraId="14138C91" w14:textId="5B275286" w:rsidR="002D1A7D" w:rsidRPr="002430E5" w:rsidRDefault="002D1A7D" w:rsidP="002D1A7D">
      <w:pPr>
        <w:jc w:val="both"/>
        <w:rPr>
          <w:b/>
        </w:rPr>
      </w:pPr>
      <w:r w:rsidRPr="002430E5">
        <w:rPr>
          <w:b/>
          <w:u w:val="single"/>
        </w:rPr>
        <w:t>Observation 2:</w:t>
      </w:r>
      <w:r w:rsidRPr="002430E5">
        <w:rPr>
          <w:b/>
        </w:rPr>
        <w:t xml:space="preserve"> DL outage probability (def</w:t>
      </w:r>
      <w:r w:rsidR="003E69A4" w:rsidRPr="002430E5">
        <w:rPr>
          <w:b/>
        </w:rPr>
        <w:t xml:space="preserve">ined here as SINR &lt; -6 dB) is </w:t>
      </w:r>
      <w:r w:rsidRPr="002430E5">
        <w:rPr>
          <w:b/>
        </w:rPr>
        <w:t xml:space="preserve">very similar for ground and airborne users, and is approximately 1%. </w:t>
      </w:r>
    </w:p>
    <w:p w14:paraId="3CA6045D" w14:textId="2927B6AF" w:rsidR="002D1A7D" w:rsidRPr="002430E5" w:rsidRDefault="002D1A7D" w:rsidP="00FF2888">
      <w:pPr>
        <w:jc w:val="both"/>
        <w:rPr>
          <w:b/>
        </w:rPr>
      </w:pPr>
      <w:r w:rsidRPr="002430E5">
        <w:rPr>
          <w:b/>
          <w:u w:val="single"/>
        </w:rPr>
        <w:lastRenderedPageBreak/>
        <w:t xml:space="preserve">Observation 3: </w:t>
      </w:r>
      <w:r w:rsidRPr="002430E5">
        <w:rPr>
          <w:b/>
        </w:rPr>
        <w:t>The presence of drone UEs in the network increase the interference over thermal when using the same OLPC parameters as ground UEs.</w:t>
      </w:r>
    </w:p>
    <w:p w14:paraId="43353CBB" w14:textId="7C790C99" w:rsidR="001C12F4" w:rsidRPr="002430E5" w:rsidRDefault="002D1A7D" w:rsidP="00FF2888">
      <w:pPr>
        <w:jc w:val="both"/>
        <w:rPr>
          <w:b/>
        </w:rPr>
      </w:pPr>
      <w:r w:rsidRPr="002430E5">
        <w:rPr>
          <w:b/>
          <w:u w:val="single"/>
        </w:rPr>
        <w:t>Proposal 1:</w:t>
      </w:r>
      <w:r w:rsidRPr="002430E5">
        <w:rPr>
          <w:b/>
        </w:rPr>
        <w:t xml:space="preserve"> Further investigate techniques to alleviate interference increase created by airborne UEs (e.g. power control optimizations or resource partitioning optimizations)</w:t>
      </w:r>
      <w:bookmarkStart w:id="13" w:name="_GoBack"/>
      <w:bookmarkEnd w:id="13"/>
    </w:p>
    <w:p w14:paraId="32F7E829" w14:textId="587669B0" w:rsidR="00CB1C5B" w:rsidRPr="00986956" w:rsidRDefault="00CB1C5B" w:rsidP="00CB1C5B">
      <w:pPr>
        <w:pStyle w:val="Heading1"/>
        <w:rPr>
          <w:lang w:val="en-US"/>
        </w:rPr>
      </w:pPr>
      <w:r w:rsidRPr="00986956">
        <w:rPr>
          <w:lang w:val="en-US"/>
        </w:rPr>
        <w:t>References</w:t>
      </w:r>
    </w:p>
    <w:p w14:paraId="54538AB5" w14:textId="2918A020" w:rsidR="00930A51" w:rsidRPr="0070293C" w:rsidRDefault="0069451E" w:rsidP="00E34900">
      <w:pPr>
        <w:numPr>
          <w:ilvl w:val="0"/>
          <w:numId w:val="1"/>
        </w:numPr>
        <w:spacing w:after="0"/>
        <w:jc w:val="both"/>
        <w:rPr>
          <w:rStyle w:val="Hyperlink"/>
          <w:color w:val="auto"/>
          <w:u w:val="none"/>
        </w:rPr>
      </w:pPr>
      <w:hyperlink r:id="rId15" w:history="1">
        <w:r w:rsidR="003E69A4" w:rsidRPr="00CD1009">
          <w:rPr>
            <w:rStyle w:val="Hyperlink"/>
            <w:shd w:val="clear" w:color="auto" w:fill="FFFFFF"/>
          </w:rPr>
          <w:t>RP-170779</w:t>
        </w:r>
      </w:hyperlink>
      <w:r w:rsidR="003E69A4">
        <w:rPr>
          <w:rStyle w:val="Hyperlink"/>
          <w:shd w:val="clear" w:color="auto" w:fill="FFFFFF"/>
        </w:rPr>
        <w:t xml:space="preserve">, </w:t>
      </w:r>
      <w:r w:rsidR="00AF6927" w:rsidRPr="00AF6927">
        <w:rPr>
          <w:bCs/>
          <w:shd w:val="clear" w:color="auto" w:fill="FFFFFF"/>
        </w:rPr>
        <w:t>SID on Enhanced Support for Aerial Vehicles</w:t>
      </w:r>
    </w:p>
    <w:p w14:paraId="55C6823A" w14:textId="66D4AF2B" w:rsidR="0070293C" w:rsidRDefault="0070293C" w:rsidP="00E34900">
      <w:pPr>
        <w:numPr>
          <w:ilvl w:val="0"/>
          <w:numId w:val="1"/>
        </w:numPr>
        <w:spacing w:after="0"/>
        <w:jc w:val="both"/>
      </w:pPr>
      <w:r>
        <w:t xml:space="preserve">TS 36.814, </w:t>
      </w:r>
      <w:r w:rsidRPr="0070293C">
        <w:t>Evolved Universal Terrestrial Radio Access (E-UTRA); Further advancements for E-UTRA physical layer aspects</w:t>
      </w:r>
    </w:p>
    <w:p w14:paraId="085101E8" w14:textId="17B7A720" w:rsidR="00813596" w:rsidRDefault="00813596" w:rsidP="003E69A4">
      <w:pPr>
        <w:numPr>
          <w:ilvl w:val="0"/>
          <w:numId w:val="1"/>
        </w:numPr>
        <w:spacing w:after="0"/>
        <w:jc w:val="both"/>
      </w:pPr>
      <w:r w:rsidRPr="003E69A4">
        <w:t>R1-</w:t>
      </w:r>
      <w:r w:rsidR="003E69A4" w:rsidRPr="003E69A4">
        <w:t>1705027</w:t>
      </w:r>
      <w:r>
        <w:t xml:space="preserve">, </w:t>
      </w:r>
      <w:r w:rsidRPr="00813596">
        <w:t>Handover results for aerial vehicles</w:t>
      </w:r>
      <w:r>
        <w:t>, Qualcomm Incorporated</w:t>
      </w:r>
    </w:p>
    <w:p w14:paraId="5D135AA0" w14:textId="4808B540" w:rsidR="001F3971" w:rsidRDefault="001F3971" w:rsidP="00E34900">
      <w:pPr>
        <w:numPr>
          <w:ilvl w:val="0"/>
          <w:numId w:val="1"/>
        </w:numPr>
        <w:spacing w:after="0"/>
        <w:jc w:val="both"/>
      </w:pPr>
      <w:r w:rsidRPr="003E69A4">
        <w:t>R1-</w:t>
      </w:r>
      <w:r w:rsidR="003E69A4">
        <w:t>1705025</w:t>
      </w:r>
      <w:r>
        <w:t xml:space="preserve">, </w:t>
      </w:r>
      <w:r w:rsidRPr="001F3971">
        <w:t>Channel and antenna model for aerial vehicles</w:t>
      </w:r>
      <w:r>
        <w:t>, Qualcomm Incorporated</w:t>
      </w:r>
    </w:p>
    <w:p w14:paraId="77EE3759" w14:textId="46D8FD12" w:rsidR="00CB51F8" w:rsidRDefault="00CB51F8" w:rsidP="00816C11">
      <w:pPr>
        <w:overflowPunct/>
        <w:autoSpaceDE/>
        <w:autoSpaceDN/>
        <w:adjustRightInd/>
        <w:spacing w:after="0"/>
        <w:textAlignment w:val="auto"/>
        <w:rPr>
          <w:lang w:eastAsia="ko-KR"/>
        </w:rPr>
      </w:pPr>
    </w:p>
    <w:sectPr w:rsidR="00CB51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E33D1" w14:textId="77777777" w:rsidR="0069451E" w:rsidRDefault="0069451E" w:rsidP="003E69A4">
      <w:pPr>
        <w:spacing w:after="0"/>
      </w:pPr>
      <w:r>
        <w:separator/>
      </w:r>
    </w:p>
  </w:endnote>
  <w:endnote w:type="continuationSeparator" w:id="0">
    <w:p w14:paraId="43DBD3B0" w14:textId="77777777" w:rsidR="0069451E" w:rsidRDefault="0069451E" w:rsidP="003E6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48220" w14:textId="77777777" w:rsidR="0069451E" w:rsidRDefault="0069451E" w:rsidP="003E69A4">
      <w:pPr>
        <w:spacing w:after="0"/>
      </w:pPr>
      <w:r>
        <w:separator/>
      </w:r>
    </w:p>
  </w:footnote>
  <w:footnote w:type="continuationSeparator" w:id="0">
    <w:p w14:paraId="7FCB2970" w14:textId="77777777" w:rsidR="0069451E" w:rsidRDefault="0069451E" w:rsidP="003E69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6AE7650E"/>
    <w:multiLevelType w:val="hybridMultilevel"/>
    <w:tmpl w:val="133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3"/>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0DE"/>
    <w:rsid w:val="000041A0"/>
    <w:rsid w:val="00004611"/>
    <w:rsid w:val="00006D93"/>
    <w:rsid w:val="0001102B"/>
    <w:rsid w:val="00015268"/>
    <w:rsid w:val="00015C04"/>
    <w:rsid w:val="00017CEE"/>
    <w:rsid w:val="00021364"/>
    <w:rsid w:val="00022782"/>
    <w:rsid w:val="00024C64"/>
    <w:rsid w:val="00024D2F"/>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39B"/>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3971"/>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30E5"/>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1A7D"/>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0667F"/>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45529"/>
    <w:rsid w:val="00350C50"/>
    <w:rsid w:val="00355EBA"/>
    <w:rsid w:val="00355EC4"/>
    <w:rsid w:val="003575D7"/>
    <w:rsid w:val="00357865"/>
    <w:rsid w:val="00357C58"/>
    <w:rsid w:val="003611FE"/>
    <w:rsid w:val="00361BAD"/>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69A4"/>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B4554"/>
    <w:rsid w:val="004C0ECC"/>
    <w:rsid w:val="004C129B"/>
    <w:rsid w:val="004C228D"/>
    <w:rsid w:val="004C28A4"/>
    <w:rsid w:val="004C3BF5"/>
    <w:rsid w:val="004C4B23"/>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451E"/>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293C"/>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A2879"/>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359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55C4D"/>
    <w:rsid w:val="008610DE"/>
    <w:rsid w:val="00861F24"/>
    <w:rsid w:val="0086211E"/>
    <w:rsid w:val="00862219"/>
    <w:rsid w:val="0086253A"/>
    <w:rsid w:val="008638E7"/>
    <w:rsid w:val="00870376"/>
    <w:rsid w:val="008739E5"/>
    <w:rsid w:val="00873B08"/>
    <w:rsid w:val="008740D7"/>
    <w:rsid w:val="00875215"/>
    <w:rsid w:val="00884249"/>
    <w:rsid w:val="00884A9E"/>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B7004"/>
    <w:rsid w:val="008B751D"/>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23F"/>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AF6927"/>
    <w:rsid w:val="00B018EF"/>
    <w:rsid w:val="00B019CA"/>
    <w:rsid w:val="00B023A3"/>
    <w:rsid w:val="00B029DE"/>
    <w:rsid w:val="00B0328E"/>
    <w:rsid w:val="00B04DCE"/>
    <w:rsid w:val="00B05656"/>
    <w:rsid w:val="00B11666"/>
    <w:rsid w:val="00B129BF"/>
    <w:rsid w:val="00B13657"/>
    <w:rsid w:val="00B14857"/>
    <w:rsid w:val="00B151FD"/>
    <w:rsid w:val="00B165FD"/>
    <w:rsid w:val="00B2176A"/>
    <w:rsid w:val="00B21A9A"/>
    <w:rsid w:val="00B25DF9"/>
    <w:rsid w:val="00B26411"/>
    <w:rsid w:val="00B26C78"/>
    <w:rsid w:val="00B32C7C"/>
    <w:rsid w:val="00B35280"/>
    <w:rsid w:val="00B35A25"/>
    <w:rsid w:val="00B36410"/>
    <w:rsid w:val="00B36C9C"/>
    <w:rsid w:val="00B375E9"/>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622E"/>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57FF2"/>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5AA5"/>
    <w:rsid w:val="00D105DF"/>
    <w:rsid w:val="00D124FC"/>
    <w:rsid w:val="00D14143"/>
    <w:rsid w:val="00D167AB"/>
    <w:rsid w:val="00D16EE3"/>
    <w:rsid w:val="00D17D13"/>
    <w:rsid w:val="00D2288F"/>
    <w:rsid w:val="00D23867"/>
    <w:rsid w:val="00D26183"/>
    <w:rsid w:val="00D2667A"/>
    <w:rsid w:val="00D32D20"/>
    <w:rsid w:val="00D34BC3"/>
    <w:rsid w:val="00D35DA8"/>
    <w:rsid w:val="00D366FF"/>
    <w:rsid w:val="00D3673D"/>
    <w:rsid w:val="00D40CB5"/>
    <w:rsid w:val="00D445EE"/>
    <w:rsid w:val="00D44E23"/>
    <w:rsid w:val="00D462B5"/>
    <w:rsid w:val="00D467B3"/>
    <w:rsid w:val="00D518E6"/>
    <w:rsid w:val="00D57CA5"/>
    <w:rsid w:val="00D57E5C"/>
    <w:rsid w:val="00D57E7A"/>
    <w:rsid w:val="00D60EDE"/>
    <w:rsid w:val="00D622E8"/>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97396"/>
    <w:rsid w:val="00DA03E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4900"/>
    <w:rsid w:val="00E35B8D"/>
    <w:rsid w:val="00E36956"/>
    <w:rsid w:val="00E3786C"/>
    <w:rsid w:val="00E4607D"/>
    <w:rsid w:val="00E472F1"/>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7DF"/>
    <w:rsid w:val="00E934A4"/>
    <w:rsid w:val="00E93856"/>
    <w:rsid w:val="00E942A4"/>
    <w:rsid w:val="00E97466"/>
    <w:rsid w:val="00EA1460"/>
    <w:rsid w:val="00EA175A"/>
    <w:rsid w:val="00EA2189"/>
    <w:rsid w:val="00EA2A9B"/>
    <w:rsid w:val="00EA355B"/>
    <w:rsid w:val="00EA5235"/>
    <w:rsid w:val="00EA64D7"/>
    <w:rsid w:val="00EB3985"/>
    <w:rsid w:val="00EB3AB2"/>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2737"/>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6B4"/>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9A4"/>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uiPriority w:val="30"/>
    <w:qFormat/>
    <w:rsid w:val="000040DE"/>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0040DE"/>
    <w:rPr>
      <w:rFonts w:ascii="Times New Roman" w:hAnsi="Times New Roman"/>
      <w:sz w:val="22"/>
    </w:rPr>
  </w:style>
  <w:style w:type="paragraph" w:customStyle="1" w:styleId="TB-TableBody">
    <w:name w:val="TB-Table Body"/>
    <w:qFormat/>
    <w:rsid w:val="000040DE"/>
    <w:pPr>
      <w:spacing w:before="40" w:after="40" w:line="180" w:lineRule="atLeast"/>
    </w:pPr>
    <w:rPr>
      <w:rFonts w:ascii="Arial" w:eastAsia="Times New Roman" w:hAnsi="Arial" w:cs="Arial"/>
      <w:sz w:val="18"/>
    </w:rPr>
  </w:style>
  <w:style w:type="paragraph" w:customStyle="1" w:styleId="TH-TableHeading">
    <w:name w:val="TH-Table Heading"/>
    <w:qFormat/>
    <w:rsid w:val="000040DE"/>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0040DE"/>
    <w:pPr>
      <w:keepNext/>
      <w:spacing w:before="240" w:after="120"/>
      <w:ind w:left="720"/>
    </w:pPr>
    <w:rPr>
      <w:rFonts w:ascii="Arial" w:eastAsia="Times New Roman" w:hAnsi="Arial" w:cs="Arial"/>
      <w:b/>
      <w:sz w:val="22"/>
    </w:rPr>
  </w:style>
  <w:style w:type="paragraph" w:customStyle="1" w:styleId="TU-TableBullet">
    <w:name w:val="TU-Table Bullet"/>
    <w:basedOn w:val="TB-TableBody"/>
    <w:qFormat/>
    <w:rsid w:val="000040DE"/>
    <w:pPr>
      <w:numPr>
        <w:numId w:val="5"/>
      </w:numPr>
      <w:spacing w:line="200" w:lineRule="atLeast"/>
    </w:pPr>
    <w:rPr>
      <w:rFonts w:eastAsia="SimSun"/>
    </w:rPr>
  </w:style>
  <w:style w:type="paragraph" w:customStyle="1" w:styleId="TU2-TableBullet2">
    <w:name w:val="TU2-Table Bullet 2"/>
    <w:basedOn w:val="TU-TableBullet"/>
    <w:rsid w:val="000040DE"/>
    <w:pPr>
      <w:numPr>
        <w:ilvl w:val="1"/>
      </w:numPr>
    </w:pPr>
  </w:style>
  <w:style w:type="paragraph" w:customStyle="1" w:styleId="TU3-TableBullet3">
    <w:name w:val="TU3-Table Bullet 3"/>
    <w:basedOn w:val="TU2-TableBullet2"/>
    <w:rsid w:val="000040DE"/>
    <w:pPr>
      <w:numPr>
        <w:ilvl w:val="2"/>
      </w:numPr>
    </w:pPr>
    <w:rPr>
      <w:lang w:eastAsia="ja-JP"/>
    </w:rPr>
  </w:style>
  <w:style w:type="paragraph" w:customStyle="1" w:styleId="TU4-TableBullet4">
    <w:name w:val="TU4-Table Bullet 4"/>
    <w:basedOn w:val="TU3-TableBullet3"/>
    <w:qFormat/>
    <w:rsid w:val="000040DE"/>
    <w:pPr>
      <w:numPr>
        <w:ilvl w:val="3"/>
      </w:numPr>
      <w:tabs>
        <w:tab w:val="left" w:pos="1116"/>
      </w:tabs>
    </w:pPr>
  </w:style>
  <w:style w:type="paragraph" w:customStyle="1" w:styleId="A-Anchor">
    <w:name w:val="A-Anchor"/>
    <w:link w:val="A-AnchorChar"/>
    <w:uiPriority w:val="99"/>
    <w:qFormat/>
    <w:rsid w:val="00D97396"/>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D97396"/>
    <w:rPr>
      <w:rFonts w:ascii="Times New Roman" w:hAnsi="Times New Roman"/>
      <w:b/>
      <w:sz w:val="22"/>
    </w:rPr>
  </w:style>
  <w:style w:type="paragraph" w:customStyle="1" w:styleId="E-Equation">
    <w:name w:val="E-Equation"/>
    <w:qFormat/>
    <w:rsid w:val="00D97396"/>
    <w:pPr>
      <w:tabs>
        <w:tab w:val="left" w:pos="1440"/>
        <w:tab w:val="center" w:pos="4680"/>
        <w:tab w:val="right" w:pos="9360"/>
      </w:tabs>
      <w:spacing w:line="240" w:lineRule="atLeast"/>
      <w:ind w:left="720" w:right="1440"/>
    </w:pPr>
    <w:rPr>
      <w:rFonts w:ascii="Times New Roman" w:eastAsia="Times New Roman" w:hAnsi="Times New Roman"/>
      <w:sz w:val="22"/>
    </w:rPr>
  </w:style>
  <w:style w:type="paragraph" w:customStyle="1" w:styleId="F-FigureTitle">
    <w:name w:val="F-Figure Title"/>
    <w:link w:val="F-FigureTitleChar"/>
    <w:qFormat/>
    <w:rsid w:val="00D97396"/>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D97396"/>
    <w:rPr>
      <w:rFonts w:ascii="Arial" w:eastAsia="SimHei" w:hAnsi="Arial" w:cs="Arial"/>
      <w:b/>
      <w:sz w:val="22"/>
    </w:rPr>
  </w:style>
  <w:style w:type="paragraph" w:customStyle="1" w:styleId="U-Bullet">
    <w:name w:val="U-Bullet"/>
    <w:basedOn w:val="B-Body"/>
    <w:qFormat/>
    <w:rsid w:val="00D97396"/>
    <w:pPr>
      <w:numPr>
        <w:numId w:val="6"/>
      </w:numPr>
      <w:tabs>
        <w:tab w:val="clear" w:pos="2160"/>
      </w:tabs>
    </w:pPr>
  </w:style>
  <w:style w:type="paragraph" w:customStyle="1" w:styleId="U2-Bullet2">
    <w:name w:val="U2-Bullet 2"/>
    <w:basedOn w:val="U-Bullet"/>
    <w:rsid w:val="00D97396"/>
    <w:pPr>
      <w:numPr>
        <w:ilvl w:val="1"/>
      </w:numPr>
      <w:tabs>
        <w:tab w:val="left" w:pos="2160"/>
      </w:tabs>
    </w:pPr>
  </w:style>
  <w:style w:type="paragraph" w:customStyle="1" w:styleId="U3-Bullet3">
    <w:name w:val="U3-Bullet 3"/>
    <w:basedOn w:val="U2-Bullet2"/>
    <w:rsid w:val="00D97396"/>
    <w:pPr>
      <w:numPr>
        <w:ilvl w:val="2"/>
      </w:numPr>
    </w:pPr>
    <w:rPr>
      <w:rFonts w:eastAsia="MS Mincho"/>
      <w:lang w:eastAsia="ja-JP"/>
    </w:rPr>
  </w:style>
  <w:style w:type="paragraph" w:customStyle="1" w:styleId="U4-Bullet4">
    <w:name w:val="U4-Bullet 4"/>
    <w:basedOn w:val="U3-Bullet3"/>
    <w:rsid w:val="00D97396"/>
    <w:pPr>
      <w:numPr>
        <w:ilvl w:val="3"/>
      </w:numP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75/Docs/RP-17077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138847-5E38-4020-B998-11D5AA2E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Rico Alvarino, Alberto</cp:lastModifiedBy>
  <cp:revision>4</cp:revision>
  <dcterms:created xsi:type="dcterms:W3CDTF">2017-03-24T09:28:00Z</dcterms:created>
  <dcterms:modified xsi:type="dcterms:W3CDTF">2017-03-24T23:52:00Z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